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A-5524/2008 vom 23. Februar 2009</w:t>
      </w:r>
    </w:p>
    <w:p>
      <w:r>
        <w:t>Bundesverwaltungsgericht, 2009-02-23, DE</w:t>
      </w:r>
    </w:p>
    <w:p>
      <w:r>
        <w:rPr>
          <w:b/>
        </w:rPr>
        <w:t xml:space="preserve">Quelle: </w:t>
      </w:r>
      <w:r>
        <w:t>https://mcp.opencaselaw.ch/entscheid/bvger_A-5524_2008</w:t>
      </w:r>
    </w:p>
    <w:p>
      <w:r>
        <w:t>FR: TAF A-5524/2008 du 23 février 2009</w:t>
      </w:r>
    </w:p>
    <w:p>
      <w:r>
        <w:t>IT: TAF A-5524/2008 del 23 febbraio 2009</w:t>
      </w:r>
    </w:p>
    <w:p>
      <w:pPr>
        <w:pStyle w:val="Heading2"/>
      </w:pPr>
      <w:r>
        <w:t>Regeste</w:t>
      </w:r>
    </w:p>
    <w:p>
      <w:r>
        <w:t>Enteignung</w:t>
      </w:r>
    </w:p>
    <w:p>
      <w:pPr>
        <w:pStyle w:val="Heading2"/>
      </w:pPr>
      <w:r>
        <w:t>Erwägungen</w:t>
      </w:r>
    </w:p>
    <w:p>
      <w:r>
        <w:rPr>
          <w:b/>
        </w:rPr>
        <w:t>E. 1</w:t>
      </w:r>
    </w:p>
    <w:p>
      <w:r>
        <w:t>Gemäss Art. 31 des Verwaltungsgerichtsgesetzes vom 17. Juni 2005 (VGG, SR 173.32) beurteilt das Bundesverwaltungsgericht, sofern keine Ausnahme nach Art. 32 VGG vorliegt, Beschwerden gegen Verfügungen nach Art. 5 des Bundesgesetzes vom 20. Dezember 1968 über das Verwaltungsverfahren (VwVG, SR 172.021). Das UVEK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36 VGG nach dem VwVG, soweit das VGG nichts anderes bestimmt.</w:t>
      </w:r>
    </w:p>
    <w:p>
      <w:r>
        <w:rPr>
          <w:b/>
        </w:rPr>
        <w:t>E. 1.1</w:t>
      </w:r>
    </w:p>
    <w:p>
      <w:r>
        <w:t>Zur Beschwerde ist nach Art. 48 Abs. 1 VwVG berechtigt, wer durch die angefochtene Verfügung berührt ist und ein schutzwürdiges Interesse an deren Aufhebung oder Änderung hat. Als Einsprecher, welcher im Plangenehmigungsverfahren teilweise unterlegen ist, ist der Beschwerdeführer beschwert und mithin zur Beschwerde legitimiert.</w:t>
      </w:r>
    </w:p>
    <w:p>
      <w:r>
        <w:rPr>
          <w:b/>
        </w:rPr>
        <w:t>E. 1.2</w:t>
      </w:r>
    </w:p>
    <w:p>
      <w:r>
        <w:t>Auf die frist- und formgerecht eingereichte Beschwerde (Art. 50 und 52 VwVG) ist daher einzutreten.</w:t>
      </w:r>
    </w:p>
    <w:p>
      <w:r>
        <w:rPr>
          <w:b/>
        </w:rPr>
        <w:t>E. 2</w:t>
      </w:r>
    </w:p>
    <w:p>
      <w:r>
        <w:t>Die Vorinstanz ist im Rahmen des Plangenehmigungsverfahrens, Ausführungsprojekte zu Nationalstrassen (Nr. 533.253 Jag), Nationalstrasse N6, Umbau Anschluss Wankdorf, auf die Einsprache von A._______ in dem Umfang nicht eingetreten, als diese die Baulinie der Nationalstrasse N6 betraf. Diesbezüglich liegt folglich ein Nichteintretensentscheid vor. Wird ein Nichteintretensentscheid angefochten, prüft das Bundesverwaltungsgericht nur die Rechtsfrage, ob die Vorinstanz auf die bei ihr erhobene Einsprache zu Recht nicht eingetreten ist. Der Beschwerdeführer kann entsprechend allein geltend machen, die Vorinstanz habe ihm gegenüber zu Unrecht das Bestehen einer Eintretensvoraussetzung verneint. Damit wird das Anfechtungsobjekt auf die Eintretensfrage beschränkt, deren Verneinung als Verletzung von Bundesrecht mit Beschwerde gerügt werden kann (André Moser/Michael Beusch/Lorenz Kneubühler, Prozessieren vor dem Bundesverwaltungsgericht, Basel 2008, Rz. 2.8 und 2.164 mit Hinweisen). Die Vorinstanz hat sich in ihrem Entscheid auf den Standpunkt gestellt, die allfällige Verschiebung der Nationalstrassenbaulinie sei nicht Gegenstand des Ausführungsprojekts und ist deshalb nicht auf diesen Punkt eingetreten. Ob dies zu Recht oder zu Unrecht geschehen ist, hat das Bundesverwaltungsgericht ohne Bindung an die Vorbringen der Parteien zu entscheiden (Art. 64 Abs. 4 VwVG).</w:t>
      </w:r>
    </w:p>
    <w:p>
      <w:r>
        <w:rPr>
          <w:b/>
        </w:rPr>
        <w:t>E. 2.1</w:t>
      </w:r>
    </w:p>
    <w:p>
      <w:r>
        <w:t>Baulinien bezeichnen den Mindestabstand der Bauten zu öffentlichen Verkehrsanlagen, Gewässern, zu ober- und unterirdischen Leitungen, Wäldern, Hecken. Baulinien wirken sich als Bauverbote aus: Land, das innerhalb der Baulinien liegt, darf nicht mehr überbaut werden. Dieser Eingriff ins Eigentum ist wiederum nur zulässig, wenn eine gesetzliche Grundlage und ein überwiegendes öffentliches Interesse gegeben sind und der Grundsatz der Verhältnismässigkeit eingehalten wird. In der Regel führen Baulinien zu keiner Entschädigungspflicht; vorbehalten bleibt der Fall, wo ein Baugrundstück vollständig oder zum grössten Teil innerhalb der Baulinie liegt oder durch diese geradezu zerschnitten wird, sodass darauf nicht mehr oder nicht mehr wirtschaftlich gebaut werden kann (vgl. zum Ganzen Peter Hänni, Planungs-, Bau- und besonderes Umweltschutzrecht, 5. Aufl., Bern 2008, S. 239 ff. mit Hinweisen auf die Rechtsprechung).</w:t>
      </w:r>
    </w:p>
    <w:p>
      <w:r>
        <w:rPr>
          <w:b/>
        </w:rPr>
        <w:t>E. 2.2</w:t>
      </w:r>
    </w:p>
    <w:p>
      <w:r>
        <w:t>Die Stadien bei der Erstellung der Nationalstrassen bilden die Planung und generelle Projektierung (Art. 9 ff. des Bundesgesetzes über die Nationalstrassen vom 8. März 1960 [NSG, SR 725.11]) sowie das Ausführungsprojekt (Art. 21 ff. NSG; vgl. Isabelle Häner, Verkehrsrecht, in; Koller/Müller/Tanquerel/Zimmerli [Hrsg.], Schweizerisches Bundesverwaltungsrecht, Basel 2008, Band IV, S. 191, Ziff. 27). Gemäss Art. 21 NSG arbeiten die Kantone in Zusammenarbeit mit dem Bundesamt sowie den interessierten Bundesstellen die Ausführungsprojekte aus. Diese geben Aufschluss über Art, Umfang und Lage des Werkes samt allen Nebenanlagen, die Einzelheiten seiner bautechnischen Gestaltung und die Baulinien (vgl. Art. 22 NSG). Der Bundesrat legt die Anforderungen an die Ausführungsprojekte und Pläne fest (Art. 21 Abs. 2 NSG). In der Nationalstrassenverordnung vom 7. November 2007 (NSV, SR 725.111) präzisiert der Bundesrat die gesetzlichen Vorgaben insbesondere in verfahrensmässiger Hinsicht (vgl. Art. 13 ff. NSV). So wird u.a. genau vorgeschrieben, welche Unterlagen dem Plangenehmigungsgesuch beizulegen sind. Gemäss Art. 12 Abs. 1 NSV sind dies u.a. die Situationspläne mit Angabe der Baulinie im Massstab 1:1000 (Art. 12 Abs. 1 Bst. b NSV).</w:t>
      </w:r>
    </w:p>
    <w:p>
      <w:r>
        <w:rPr>
          <w:b/>
        </w:rPr>
        <w:t>E. 2.3</w:t>
      </w:r>
    </w:p>
    <w:p>
      <w:r>
        <w:t>Das generelle Projekt kann nicht mit einem Rechtsmittel angefochten werden. Im Rahmen des Ausführungsprojekts kann aber die Linienführung beanstandet werden, wobei die beschwerdeführende Person konkret aufzuzeigen hat, inwiefern das Ausführungsprojekt im Bereich ihres Grundstückes gegen Bundesrecht verstösst (vgl. Isabelle Häner, a.a.O., S. 193, Rz. 35). Gegen das Ausführungsprojekt und die darin enthaltenen Baulinien kann Einsprache erhoben werden (vgl. zum Ganzen Urteil des Bundesgerichts 1E.8/2006 vom 18. Oktober 2006 E. 5.3; Isabelle Häner, a.a.O., S. 193, Rz. 42).</w:t>
      </w:r>
    </w:p>
    <w:p>
      <w:r>
        <w:rPr>
          <w:b/>
        </w:rPr>
        <w:t>E. 2.4</w:t>
      </w:r>
    </w:p>
    <w:p>
      <w:r>
        <w:t>Die Vorinstanz ist mit der Begründung, die Baulinie sei nicht Teil des Ausführungsprojekts, nicht auf diesen Einsprachepunkt eingetreten. In ihrem Entscheid legt sie dar, dass das Ausführungsprojekt im Zusammenhang mit dem (kantonalen) Strassenbauprojekt "Wankdorfplatz" (einschliesslich Verlängerung der Tramlinie 9) stehe und der Kanton zu diesem Zeitpunkt mit dem Einsprecher Verhandlungen über den Umfang der Enteignung und die Entschädigungsfragen führe. Je nach Verhandlungsergebnis solle eine den Eigentümer weniger stark belastende Verlegung der Nationalstrassenbaulinie gewählt werden. Aus den Projektplänen ergibt sich eindeutig, dass die Baulinie der Nationalstrasse im Bereich der Liegenschaft des Beschwerdeführers eine Änderung erfährt (vgl. Situationsplan 1:1000 [Beilage 2] sowie Situation 1:1000, Landerwerb [Beilage 15]). Mit der Plangenehmigung durch die Vorinstanz wurden somit - wie von Art. 21 Abs. 1 NSG vorgesehen - auch die neuen Baulinien genehmigt. Die anderslautenden Erwägungen treffen nicht zu, zumal sich im Entscheiddispositiv kein entsprechender Vorbehalt findet. Folglich hat sie die Baulinie gemäss Projektunterlagen genehmigt. Hätte sie diesen Punkt offen gelassen, wäre die Baulinienführung tatsächlich nicht Verfahrensgegenstand und der Nichteintretensentscheid damit korrekt gewesen. Im vorliegenden Fall ist die Vorinstanz aber unrichtigerweise nicht auf den Einsprachepunkt bezüglich Baulinienführung eingetreten, denn ohne einen Vorbehalt gilt die Baulinienführung, die allgemein im Rahmen des Ausführungsprojekts zu genehmigen ist (vgl. E. 2.1 - 2.3), als genehmigt. Die Beschwerde ist daher in diesem Punkt gutzuheissen und die Sache an die Vorinstanz zurückzuweisen. Diese wird entweder auf den Einsprachepunkt bezüglich Baulinienführung eintreten oder im Dispositiv des Entscheids festzuhalten haben, dass die Frage der definitiven Baulinienführung noch offen bzw. noch nicht genehmigt sei.</w:t>
      </w:r>
    </w:p>
    <w:p>
      <w:r>
        <w:rPr>
          <w:b/>
        </w:rPr>
        <w:t>E. 3</w:t>
      </w:r>
    </w:p>
    <w:p>
      <w:r>
        <w:t>Betreffend der Forderung nach Realersatz hat die Vorinstanz festgehalten, darüber entscheide die Eidgenössische Schätzungskommission. Der Antrag des Beschwerdeführers, die Plangenehmigung sei insoweit aufzuheben, weil die Schätzungskommission nicht über die Forderung nach Realersatz zu entscheiden habe, zumal ihr dafür die Mittel fehlten, ist als unbegründet abzuweisen. Denn nur über Ersatzvorkehren gemäss Art. 7 ff. des Bundesgesetzes vom 20. Juni 1930 über die Enteignung (EntG, SR 711) entscheidet die zuständige Verwaltungsbehörde im Einspracheverfahren. In allen andern Fällen hingegen legt die Schätzungskommission nicht nur die Höhe, sondern gemäss Art. 64 Abs. 1 Bst. a EntG auch die Form der Entschädigung fest (vgl. Heinz Hess/Heinrich Weibel, Das Enteignungsrecht des Bundes, Bern 1986, Rz. 8 und 14 zu Art. 18 EntG).</w:t>
      </w:r>
    </w:p>
    <w:p>
      <w:r>
        <w:rPr>
          <w:b/>
        </w:rPr>
        <w:t>E. 4</w:t>
      </w:r>
    </w:p>
    <w:p>
      <w:r>
        <w:t>Der Beschwerdeführer rügt ferner, die Parteientschädigung, welche ihm im Vorverfahren zugesprochen wurde, sei nicht angemessen. Zur Begründung führt er an, die Auflage des Projekts habe ihn existenziell getroffen, da er erhebliche Umbauarbeiten in der Grössenordnung von Fr. 300'000.-- in seiner Liegenschaft vorgenommen habe, ehe er erfuhr, dass aufgrund der neuen Autobahnbaulinie vorgesehen sei, die ganze Liegenschaft zu enteignen. Er führt weiter aus, es hätten intensive Verhandlungen mit dem kantonalen Tiefbauamt stattgefunden und die Aufwendungen des Rechtsvertreters seien überdurchschnittlich gewesen; eine Parteientschädigung von Fr. 500.-- halte auch deshalb vor dem Recht nicht Stand.</w:t>
      </w:r>
    </w:p>
    <w:p>
      <w:r>
        <w:rPr>
          <w:b/>
        </w:rPr>
        <w:t>E. 4.1</w:t>
      </w:r>
    </w:p>
    <w:p>
      <w:r>
        <w:t>Die Vorinstanz ist dagegen der Auffassung, bei der Festlegung der Parteientschädigung sei auf das Ausmass der erbrachten Leistungen, also auf Zeitaufwand und Einsatz sowie auf Umfang und Schwierigkeiten des Falles abzustellen. Dem Streitwert bzw. den Kosten der Umbauarbeiten komme demgegenüber keine massgebliche Bedeutung zu. Der Rechtsvertreter habe neben dem Beschwerdeführer auch andere Enteignete vertreten und damit Zeit gespart, weshalb die Höhe der Parteientschädigung angemessen sei.</w:t>
      </w:r>
    </w:p>
    <w:p>
      <w:r>
        <w:rPr>
          <w:b/>
        </w:rPr>
        <w:t>E. 4.2</w:t>
      </w:r>
    </w:p>
    <w:p>
      <w:r>
        <w:t>Der Kanton als Enteigner führt aus, er teile die Auffassung des Beschwerdeführers, dass ihm von der Vorinstanz eine ungewöhnlich tiefe Parteientschädigung zugesprochen worden sei. Allerdings sei er mit seinen Anliegen auch kaum durchgedrungen. Er beantrage somit, die Entschädigung unter Berücksichtigung der Praxis von Amtes wegen festzulegen.</w:t>
      </w:r>
    </w:p>
    <w:p>
      <w:r>
        <w:rPr>
          <w:b/>
        </w:rPr>
        <w:t>E. 4.3</w:t>
      </w:r>
    </w:p>
    <w:p>
      <w:r>
        <w:t>Der Enteigner schuldet nach Art. 115 EntG bereits für das erstinstanzliche Verfahren eine Parteientschädigung, dies im Unterschied zum Verfahren nach VwVG (BGE 132 II 47 E. 5.2). Bei der Festsetzung der Parteientschädigung spielt das Unterliegerprinzip eine gewisse Rolle (Art. 115 Abs. 2 EntG). Die Parteientschädigung ist eine reine Prozessentschädigung, mit der insbesondere die Kosten für die anwaltliche Vertretung, wenn und in dem Umfang sie geboten war, abgegolten werden sollen; nicht anwendbar, jedenfalls nicht direkt, sind die kantonalen Anwaltstarife (BGE 129 II 106 E. 3.2). Sodann sind nicht zwingend die Kosten schlechthin zu ersetzen, sondern es ist, wie Art. 115 EntG festhält, eine angemessene Entschädigung zu leisten.</w:t>
      </w:r>
    </w:p>
    <w:p>
      <w:r>
        <w:rPr>
          <w:b/>
        </w:rPr>
        <w:t>E. 4.4</w:t>
      </w:r>
    </w:p>
    <w:p>
      <w:r>
        <w:t>Die Vorinstanz hat dem Beschwerdeführer in ihrem Entscheid vom 25. Juni 2008 eine Parteientschädigung von Fr. 500.-- zugesprochen. Eine solche Entschädigung deckt die Anwaltskosten des Vorverfahrens im Lichte der eingereichten Honorarnoten offensichtlich bei weitem nicht und erscheint damit als ungenügend. Der Vertreter des Beschwerdeführers fordert denn auch eine Parteientschädigung von Fr. 6'000.--. In diesem Zusammenhang ist allerdings zu beachten, dass der Rechtsvertreter im erstinstanzlichen Verfahren neben dem Beschwerdeführer eine weitere Mandantin betreut und ihm das Wissen aus diesem Parallelmandat Arbeit erspart hat. Andererseits ist der Beschwerdeführer mit den meisten seiner Anliegen durchgedrungen. Unter Berücksichtigung der massgeblichen Faktoren erscheinen Fr. 2'000.-- als Parteientschädigung für das Vorverfahren angemessen.</w:t>
      </w:r>
    </w:p>
    <w:p>
      <w:r>
        <w:rPr>
          <w:b/>
        </w:rPr>
        <w:t>E. 5</w:t>
      </w:r>
    </w:p>
    <w:p>
      <w:r>
        <w:t>Zusammenfassend ist die Beschwerde demnach teilweise gutzuheissen. Die Plangenehmigung des UVEK vom 25. Juni 2008 betreffend Nationalstrass N6, Umbau Anschluss Wankdorf, ist aufzuheben, soweit sie den Verlauf der Baulinie im Bereich des Grundstücks (...) des Beschwerdeführers betrifft. Ausserdem ist die Entschädigung des Beschwerdeführers für das Verfahren vor der Vorinstanz auf Fr. 2'000.-- festzusetzen. Soweit weitergehend ist die Beschwerde abzuweisen. Mit dem vorliegenden Endentscheid wird die Beurteilung des Eventualantrags des Beschwerdegegners betreffend aufschiebende Wirkung gegenstandslos.</w:t>
      </w:r>
    </w:p>
    <w:p>
      <w:r>
        <w:rPr>
          <w:b/>
        </w:rPr>
        <w:t>E. 6</w:t>
      </w:r>
    </w:p>
    <w:p>
      <w:r>
        <w:t>Als Nächstes sind die Kosten für das vorliegende Verfahren zu verlegen. Gemäss bundesgerichtlicher Rechtsprechung richtet sich die Kosten- und Entschädigungsregelung gegenüber den Verfahrensbeteiligten, denen die Enteignung droht, nach den Spezialvorschriften des EntG (vgl. BGE 119 Ib 32 E. 2, Entscheide des Bundesgerichts 1E.16/2005 vom 14. Februar 2006 E. 6, 1E.8/2006 vom 18. Oktober 2006 E. 8.2, 1E.5/2005 vom 9. August 2005 E. 7). 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Der Beschwerdeführer hat keine offensichtlich missbräuchlichen Rechtsbegehren gestellt. Eine Abweichung vom Grundsatz, dass die aus der Geltendmachung des Enteignungsrechts entstehenden Kosten der Enteigner trägt, rechtfertigt sich daher nicht (vgl. Art. 114 Abs. 1 und Abs. 2 EntG). Der Beschwerdeführer ist deshalb trotz des teilweisen Unterliegens im vorliegenden Verfahren von der Bezahlung der Verfahrenskosten befreit. Diese sind wie in enteignungsrechtlichen Verfahren üblich niedrig zu halten (BGE 133 II 30 nicht publ. E. 5). Sie werden auf Fr. 1'000.-- festgesetzt und dem Beschwerdegegner zur Bezahlung auferlegt (Art. 116 Abs. 1 EntG).</w:t>
      </w:r>
    </w:p>
    <w:p>
      <w:r>
        <w:rPr>
          <w:b/>
        </w:rPr>
        <w:t>E. 7</w:t>
      </w:r>
    </w:p>
    <w:p>
      <w:r>
        <w:t>Schliesslich ist über die Parteikosten für das vorliegende Verfahren zu befinden. Die eingereichte Kostennote beläuft sich auf Fr. 7'197.80. Angesichts der beiden Eingaben ans Bundesverwaltungsgericht und des mutmasslich damit verbundenen Aufwands kann jedoch nicht der volle Betrag entschädigt werden. Eine Entschädigung von Fr. 2'000.--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