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A-5522/2019 vom 18. August 2020</w:t>
      </w:r>
    </w:p>
    <w:p>
      <w:r>
        <w:t>Bundesverwaltungsgericht, 2020-08-18, DE</w:t>
      </w:r>
    </w:p>
    <w:p>
      <w:r>
        <w:rPr>
          <w:b/>
        </w:rPr>
        <w:t xml:space="preserve">Quelle: </w:t>
      </w:r>
      <w:r>
        <w:t>https://mcp.opencaselaw.ch/entscheid/bvger_A-5522_2019</w:t>
      </w:r>
    </w:p>
    <w:p>
      <w:r>
        <w:t>FR: TAF A-5522/2019 du 18 août 2020</w:t>
      </w:r>
    </w:p>
    <w:p>
      <w:r>
        <w:t>IT: TAF A-5522/2019 del 18 agosto 2020</w:t>
      </w:r>
    </w:p>
    <w:p>
      <w:pPr>
        <w:pStyle w:val="Heading2"/>
      </w:pPr>
      <w:r>
        <w:t>Regeste</w:t>
      </w:r>
    </w:p>
    <w:p>
      <w:r>
        <w:t>Amtshilfe</w:t>
      </w:r>
    </w:p>
    <w:p>
      <w:pPr>
        <w:pStyle w:val="Heading2"/>
      </w:pPr>
      <w:r>
        <w:t>Erwägungen</w:t>
      </w:r>
    </w:p>
    <w:p>
      <w:r>
        <w:rPr>
          <w:b/>
        </w:rPr>
        <w:t>E. 1.1</w:t>
      </w:r>
    </w:p>
    <w:p>
      <w:r>
        <w:t>Die vorliegenden Amtshilfeersuchen vom [Datum 1], ergänzt um das Ersuchen vom [Datum 3] (Sachverhalt Bst. A und C), stützen sich auf das DBA CH-RU. Das Verfahren richtet sich nach dem Bundesgesetz vom 28. September 2012 über die internationale Amtshilfe in Steuersachen (StAhiG, SR 651.1; Art. 1 Abs. 1 Bst. a StAhiG, Art. 24 StAhiG e contrario), soweit das DBA CH-RU keine abweichenden Bestimmungen enthält (Art. 1 Abs. 2 StAhiG). Gemäss Art. 19 Abs. 5 StAhiG gelten die Bestimmungen über die Bundesrechtspflege, soweit das StAhiG keine abweichenden Bestimmungen aufstellt.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Beschwerdeführerinnen erfüllen als Adressatinnen der angefochtenen Schlussverfügung und Personen, deren Daten übermittelt werden sollen, die Voraussetzungen der Beschwerdelegitimation (vgl. Art. 19 Abs. 2 StAhiG i.V.m. Art. 48 VwVG). Die Beschwerde wurde überdies form- und fristgerecht eingereicht (Art. 50 Abs. 1 und Art. 52 Abs. 1 VwVG). Auf die Beschwerde ist einzutreten.</w:t>
      </w:r>
    </w:p>
    <w:p>
      <w:r>
        <w:rPr>
          <w:b/>
        </w:rPr>
        <w:t>E. 1.3</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 Im Beschwerdeverfahren gelten die Untersuchungsmaxime, wonach der Sachverhalt von Amtes wegen festzustellen ist, und der Grundsatz der Rechtsanwendung von Amtes wegen (vgl. Art. 62 Abs. 4 VwVG; André Moser/Michael Beusch/Lorenz Kneubühler, Prozessieren vor dem Bundesverwaltungsgericht, 2. Aufl. 2013, Rz. 1.49 ff.; Pierre Moor/ Etienne Poltier, Droit administratif, Bd. II, 3. Aufl. 2011, S. 292 ff., 300 f., 820 f., Ziff. 2.2.6.3, 2.2.6.5 und 5.8.3.5).</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dabei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A-4163/2019 vom 22. April 2020 E. 3.1.3, A-5695/2018 vom 22. April 2020 E. 3.3.1).</w:t>
      </w:r>
    </w:p>
    <w:p>
      <w:r>
        <w:rPr>
          <w:b/>
        </w:rPr>
        <w:t>E. 2.3.2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w:t>
      </w:r>
    </w:p>
    <w:p>
      <w:r>
        <w:rPr>
          <w:b/>
        </w:rPr>
        <w:t>E. 2.3.3</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Sinne von Art. 25a Abs. 1 Satz 1 DBA CH-RU, nur verweigern, wenn ein Zusammenhang zwischen den verlangten Angaben und der im ersuchenden Staat durchgeführten Untersuchung unwahrscheinlich erscheint (vgl. BGE 141 II 436 E. 4.4.3, 142 II 161 E. 2.1.1; Urteil des BVGer A-5695/2018 vom 22. April 2020 E. 3.3.2). In letzterem Sinne ist auch Art. 17 Abs. 2 StAhiG anzuwenden, wonach Informationen, welche voraussichtlich nicht erheblich sind, nicht übermittelt werden dürfen und von der ESTV auszusondern oder unkenntlich zu machen sind (Urteile des BVGer A-4163/2019 vom 22. April 2020 E. 3.1.3, A-2540/2017 vom 7. September 2017 E. 4.1, A-3361/2016 vom 19. Juni 2017 E. 3.10.2 f.).</w:t>
      </w:r>
    </w:p>
    <w:p>
      <w:r>
        <w:rPr>
          <w:b/>
        </w:rPr>
        <w:t>E. 2.3.4</w:t>
      </w:r>
    </w:p>
    <w:p>
      <w:r>
        <w:t>Informationen können auch dann noch voraussichtlich erheblich sein, wenn die steuerpflichtige Person bereits veranlagt oder eine Steuerprüfung abgeschlossen wurde. Es ist nämlich nicht ausgeschlossen, dass z.B. Nachsteuern erhoben werden können oder eine Veranlagung revidiert werden kann (vgl. Urteile des BVGer A-108/2018 vom 13. Februar 2020 E. 7.3.1, A-1745/2019 vom 1. November 2019 E. 3.1.1). Bestimmungen, die das innerstaatliche Verfahren des ersuchenden Staates betreffen und die allenfalls dazu führen können, dass bestimmte Beweismittel nicht (mehr) verwendet werden können, sind im innerstaatlichen Verfahren dieses Staates geltend zu machen und nicht im Amtshilfeverfahren (Urteil des BVGer A-6037/2017 vom 8. Januar 2019 E. 4.1.4.1 und 4.7 f.).</w:t>
      </w:r>
    </w:p>
    <w:p>
      <w:r>
        <w:rPr>
          <w:b/>
        </w:rPr>
        <w:t>E. 2.4</w:t>
      </w:r>
    </w:p>
    <w:p>
      <w:r>
        <w:t>Auf die weiteren Bestimmungen in Art. 25a DBA CH-RU ist im vorliegenden Zusammenhang nicht einzugehen.</w:t>
      </w:r>
    </w:p>
    <w:p>
      <w:r>
        <w:rPr>
          <w:b/>
        </w:rPr>
        <w:t>E. 2.5.1</w:t>
      </w:r>
    </w:p>
    <w:p>
      <w:r>
        <w:t>Soweit die Behörden des ersuchenden Staates verpflichtet sind, den massgeblichen Sachverhalt darzulegen, kann von ihnen nicht erwartet werden, dass sie dies bereits lückenlos und völlig widerspruchsfrei tun.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A-4163/2019 vom 22. April 2020 E. 3.1.4, A-2540/2017 vom 7. September 2017 E. 4.2, A-2591/2017 vom 5. März 2019 E. 5.3.2.2).</w:t>
      </w:r>
    </w:p>
    <w:p>
      <w:r>
        <w:rPr>
          <w:b/>
        </w:rPr>
        <w:t>E. 2.5.2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2.6.1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2.6.2</w:t>
      </w:r>
    </w:p>
    <w:p>
      <w:r>
        <w:t>Aufgrund des völkerrechtlichen Vertrauensprinzips (E. 2.5.2) besteht rechtsprechungsgemäss namentlich kein Anlass, an einer von der ersuchenden Behörde abgegebenen Erklärung der Ausschöpfung aller üblichen innerstaatlichen Mittel zu zweifeln, es sei denn, es liegt ein gegen die Einhaltung des Subsidiaritätsprinzips sprechendes, ernsthafte Zweifel an der Richtigkeit der Erklärung begründendes konkretes Element vor (vgl. BGE 144 II 206 E. 3.3.2; Urteile des BVGer A-3703/2019 vom 23. April 2020 E. 2.4.2 und 2.7.1, A-2725/2019 vom 25. Februar 2020 E. 2.6.2, A-4025/2016 vom 2. Mai 2017 E. 3.2.4).</w:t>
      </w:r>
    </w:p>
    <w:p>
      <w:r>
        <w:rPr>
          <w:b/>
        </w:rPr>
        <w:t>E. 2.7.1</w:t>
      </w:r>
    </w:p>
    <w:p>
      <w:r>
        <w:t>Gemäss Ziff. 7 Bst. b des Protokolls zum DBA CH-RU besteht zwischen der Schweiz und Russland Einvernehmen darüber, dass die Steuerbehörden des ersuchenden Staates bei der Stellung eines Amtshilfebegehrens nach Art. 25a DBA CH-RU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2.7.2</w:t>
      </w:r>
    </w:p>
    <w:p>
      <w:r>
        <w:t>Zwar regelt auch Art. 6 Abs. 2 StAhiG den erforderlichen Inhalt eines Amtshilfeersuchens. Diese Bestimmung greift jedoch wie bereits deren Einleitung zu entnehmen ist nur, wenn das anwendbare Abkommen - anders als das hier einschlägige DBA CH-RU mit Ziff. 7 Bst. b des Protokolls zum DBA CH-RU - keine entsprechende Ordnung enthält. Sonst sind ausschliesslich die Anforderungen gemäss Abkommen zu berücksichtigen, wobei Art. 6 Abs. 2 StAhiG, da er nur subsidiär gilt, nicht ergänzend heranzuziehen ist (vgl. BGE 142 II 161 E. 2.1.4; Urteil des BVGer A-2540/2017 vom 7. September 2017 E. 2.4).</w:t>
      </w:r>
    </w:p>
    <w:p>
      <w:r>
        <w:rPr>
          <w:b/>
        </w:rPr>
        <w:t>E. 3.1</w:t>
      </w:r>
    </w:p>
    <w:p>
      <w:r>
        <w:t>Die vorliegenden Amtshilfeersuchen betreffen den Zeitraum vom 24. Dezember 2014 bis zum 30. Juni 2015 einerseits und jenen vom 1. Oktober 2017 bis zum 30. Juni 2018 andererseits (siehe Sachverhalt Bst. C). Diese Zeiträume sind vom DBA CH-RU abgedeckt. Zudem ist unbestritten sowie den Akten zu entnehmen, dass die Amtshilfeersuchen des FTS die formellen Voraussetzungen (E. 2.7) erfüllen.</w:t>
      </w:r>
    </w:p>
    <w:p>
      <w:r>
        <w:rPr>
          <w:b/>
        </w:rPr>
        <w:t>E. 3.2.1</w:t>
      </w:r>
    </w:p>
    <w:p>
      <w:r>
        <w:t>Die Beschwerdeführerinnen bringen nun vor, nicht erhebliche Unterlagen seien nicht zu übermitteln. Die Steuerprüfung der Beschwerdeführerin 1 für den erstgenannten Zeitraum, konkret für die Jahre 2014 bis 2016, sei bereits abgeschlossen, weshalb die erfragten Informationen auf die Steuerprüfung keinen Einfluss mehr haben und daher für diesen Zeitraum nicht mehr erheblich sein könnten (bzw. nie erheblich gewesen seien). Sie legen ein Dokument in russischer Sprache vor, aus dem hervorgehe, dass die Steuerprüfung abgeschlossen sei. Das gleiche Dokument lag bereits der Vorinstanz vor.</w:t>
      </w:r>
    </w:p>
    <w:p>
      <w:r>
        <w:rPr>
          <w:b/>
        </w:rPr>
        <w:t>E. 3.2.2</w:t>
      </w:r>
    </w:p>
    <w:p>
      <w:r>
        <w:t>Aufgrund des völkerrechtlichen Vertrauensprinzips ist grundsätzlich auf die Sachverhaltsdarstellung und die Vorbringen der ersuchenden Behörde abzustellen (E. 2.5). Auch kann grundsätzlich nur der ersuchende Staat beurteilen, ob die Informationen hinsichtlich der Steuerbelange einer bestimmten steuerpflichtigen Person wahrscheinlich erheblich sind (E. 2.3.3). Schliesslich sind Bestimmungen des innerstaatlichen Rechts des ersuchenden Staates, welche einer Verwendung der im Amtshilfeverfahren erlangten Informationen entgegenstehen könnten, in diesem Staat vor den zuständigen Behörden oder Gerichten zu klären (E. 2.3.4).</w:t>
      </w:r>
    </w:p>
    <w:p>
      <w:r>
        <w:rPr>
          <w:b/>
        </w:rPr>
        <w:t>E. 3.2.3</w:t>
      </w:r>
    </w:p>
    <w:p>
      <w:r>
        <w:t>Das gerade genannte (E. 3.2.1), der Beschwerde beigelegte Dokument datiert vom 13. Dezember 2018. Der FTS hat aber am [Datum 3] erneut um Amtshilfe ersucht und am 7. August 2019 nach dem Stand des Verfahrens gefragt. Schon aus diesen Umständen geht hervor, dass der FTS die erfragten Informationen auch noch nach dem 13. Dezember 2018 als relevant erachtete. Es ist zumindest nicht ausgeschlossen, dass - selbst wenn die Steuerprüfung abgeschlossen ist - deren Ergebnis z.B. durch eine Revision noch geändert werden kann (E. 2.3.4). Ebenfalls nicht weiter einzugehen ist auf die Frage, ob die Informationen in Russland tatsächlich (noch) verwendet werden können. Sollte ein Abschluss der Steuerprüfung der Verwendung nach innerstaatlichem russischen Recht entgegenstehen, wäre dies in einem Verfahren in Russland geltend zu machen (E. 2.3.4). Im DBA CH-RU selbst finden sich jedenfalls keine Bestimmungen, wonach Informationen nicht nach Abschluss einer Steuerprüfung, z.B. in einem Revisionsverfahren, verwendet werden können. Auf den Inhalt des Schreibens ist deshalb nicht einzugehen und eine Übersetzung desselben erübrigt sich.</w:t>
      </w:r>
    </w:p>
    <w:p>
      <w:r>
        <w:rPr>
          <w:b/>
        </w:rPr>
        <w:t>E. 3.3.1</w:t>
      </w:r>
    </w:p>
    <w:p>
      <w:r>
        <w:t>Weiter machen die Beschwerdeführerinnen geltend, mit der Frage der wirtschaftlichen Berechtigung an Dividendeneinkünften gehe regelmässig die Frage nach der Substanz einer Gesellschaft einher. Ein Kontoauszug stelle jedoch ein untaugliches Mittel dar, um die Substanz einer Gesellschaft nachzuweisen. Auch zur Aufdeckung der Weiterleitung von Einkünften (hier Dividenden) sei ein Kontoauszug untauglich. So könnten einerseits Einkünfte über einen längeren Zeitraum thesauriert werden, womit die Weiterleitung nicht auf den verlangten Kontoauszügen erscheine. Andererseits würden Dividenden in Konzernen je nach anwendbarem Handelsrecht innerhalb kürzester Zeit über mehrere Gesellschaftsstufen ausgeschüttet. So könnten auch in der Schweiz Dividenden phasenkongruent verbucht (und somit auch gleichentags ausgeschüttet) werden. Vom Zeitpunkt einer allfälligen Weiterleitung könne somit nicht auf die wirtschaftliche Berechtigung geschlossen werden.</w:t>
      </w:r>
    </w:p>
    <w:p>
      <w:r>
        <w:rPr>
          <w:b/>
        </w:rPr>
        <w:t>E. 3.3.2</w:t>
      </w:r>
    </w:p>
    <w:p>
      <w:r>
        <w:t>Entgegen dem Argument der Beschwerdeführerinnen ist es nicht zwingend so, dass mit der Frage der wirtschaftlichen Berechtigung an Dividendeneinkünften regelmässig die Frage nach der Substanz einer Gesellschaft einhergehen muss: An einer Nutzungsberechtigung (und um diese geht es vorliegend) kann es z.B. auch mangeln, wenn die Person, welche die Dividenden vereinnahmt, diese einer Drittperson weiterleiten muss (vgl. für von der Schweiz abgeschlossene Abkommen z.B. BGE 141 II 447; Urteile des BGer 2C_880/2018 vom 19. Mai 2020, 2C_895/2012 vom 5. Mai 2015). Die Substanz der Person - hier der Beschwerdeführerin 2 - ist dabei unerheblich. Auf die weiteren Vorbringen der Beschwerdeführerinnen, die im Zusammenhang mit der Substanz sowie der Rechtspersönlichkeit der Beschwerdeführerin 2 gemacht werden, muss daher von vornherein nicht eingegangen werden.</w:t>
      </w:r>
    </w:p>
    <w:p>
      <w:r>
        <w:rPr>
          <w:b/>
        </w:rPr>
        <w:t>E. 3.3.3</w:t>
      </w:r>
    </w:p>
    <w:p>
      <w:r>
        <w:t>Für eine Weiterleitung können Kontoauszüge zumindest Hinweise geben. Dass allenfalls weitere Untersuchungshandlungen notwendig sind, um die Zahlungsflüsse abschliessend nachzuverfolgen und die Weiterleitung zu belegen, ändert daran nichts. Die Begründung der Beschwerdeführerinnen, Dividenden könnten thesauriert und erst später weitergeleitet werden, spricht nicht gegen die Leistung von Amtshilfe. Wenn überhaupt müsste mit dieser Begründung einem erneuten Ersuchen, welches grössere Zeiträume umfasst, entsprochen werden. Damit erweisen sich die Kontoauszüge als für die Steuerbelange der Beschwerdeführerin 1 voraussichtlich erheblich. Warum sich die ersuchende Behörde vorliegend auf bestimmte Zeiträume beschränkt hat, ist für die Frage, ob Amtshilfe zu leisten ist, unerheblich.</w:t>
      </w:r>
    </w:p>
    <w:p>
      <w:r>
        <w:rPr>
          <w:b/>
        </w:rPr>
        <w:t>E. 3.4.1</w:t>
      </w:r>
    </w:p>
    <w:p>
      <w:r>
        <w:t>Schliesslich bringen die Beschwerdeführerinnen vor, aus den Kontoauszügen der Beschwerdeführerin 2 gingen verschiedene Zahlungen von ihr an ihre Vertragspartner und von diesen an sie hervor, welche keinen Bezug zur Beschwerdeführerin 1 hätten. Diese Daten seien mangels voraussichtlicher Erheblichkeit nicht austauschfähig. In den den Zahlungen zugrundeliegenden Verträgen seien teilweise Geheimhaltungsklauseln mit Strafzahlungen im Falle von Verstössen enthalten. Die Beschwerdeführerin 2 sei daher daran interessiert, dass keine unnötigen bzw. gesetzlich nicht vorgesehenen Daten ausgetauscht würden. Sofern die Auszüge nicht gänzlich vom Informationsaustausch ausgenommen würden, seien sämtliche Daten in den Kontoauszügen, welche nicht in unmittelbarem Zusammenhang mit Zahlungen entweder von der oder an die Dividenden zahlende Gesellschaft oder die Beschwerdeführerin 1 stünden, zu schwärzen bzw. den russischen Behörden nicht zugänglich zu machen.</w:t>
      </w:r>
    </w:p>
    <w:p>
      <w:r>
        <w:rPr>
          <w:b/>
        </w:rPr>
        <w:t>E. 3.4.2</w:t>
      </w:r>
    </w:p>
    <w:p>
      <w:r>
        <w:t>Der FTS will prüfen, wer an den Dividenden nutzungsberechtigt ist. Er vermutet, dass dies nicht die Beschwerdeführerin 2 ist. Würden also sämtliche Zahlungen aus den Kontoauszügen entfernt, die nicht Zahlungen zwischen der die Dividende zahlenden Gesellschaft und den Beschwerdeführerinnen betreffen, wären die Kontoauszüge für den FTS möglicherweise nutzlos, denn es geht gerade um Zahlungen von und an Drittpersonen und nicht zwischen den gerade genannten Gesellschaften. Auch bringen die Beschwerdeführerinnen keine Beweise für ihre pauschalen Behauptungen bei. Insofern sind die Informationen voraussichtlich erheblich und gerade nicht zu schwärzen (BGE 144 II 29 E. 4.2.3, 142 II 506 je m.Hw.; Urteil des BGer 2C_545/2019 vom 13. Juli 2020 E. 4.2).</w:t>
      </w:r>
    </w:p>
    <w:p>
      <w:r>
        <w:rPr>
          <w:b/>
        </w:rPr>
        <w:t>E. 3.4.3</w:t>
      </w:r>
    </w:p>
    <w:p>
      <w:r>
        <w:t>Die in den Bankunterlagen stehenden Personen sind jedoch durch das Spezialitätsprinzip geschützt, welches auch eine persönliche Dimension aufweist (Urteile des BGer 2C_537/2019 vom 13. Juli 2020 E. 3.4.3 und 3.5, 2C_376/2019 vom 13. Juli 2020 E. 7.1.3). Der Spezialitätsvorbehalt ist in Art. 25a Abs. 2 DBA CH-RU enthalten. Nachdem aber international wie national unterschiedliche Auffassungen darüber bestehen, wie weit dieser Spezialitätsvorbehalt reicht und insbesondere, ob ihm eine persönliche Dimension zukommt, ist es angezeigt, dass die ESTV den FTS anlässlich der Übermittlung der ersuchten Informationen über den Umfang der Verwendungsbeschränkung informiert (Urteile des BGer 2C_537/2019 vom 13. Juli 2020 E. 3.7 2. Absatz, 2C_545/2019 vom 13. Juli 2020 E. 4.7). Die ESTV wird Ziff. 5 des Dispositivs der angefochtenen Verfügung entsprechend zu präzisieren haben.</w:t>
      </w:r>
    </w:p>
    <w:p>
      <w:r>
        <w:rPr>
          <w:b/>
        </w:rPr>
        <w:t>E. 3.5</w:t>
      </w:r>
    </w:p>
    <w:p>
      <w:r>
        <w:t>Insgesamt ist die Beschwerde abzuweisen.</w:t>
      </w:r>
    </w:p>
    <w:p>
      <w:r>
        <w:rPr>
          <w:b/>
        </w:rPr>
        <w:t>E. 4.1</w:t>
      </w:r>
    </w:p>
    <w:p>
      <w:r>
        <w:t>Ausgangsgemäss haben die unterliegenden Beschwerdeführerinnen die Verfahrenskosten zu tragen (Art. 63 Abs. 1 VwVG). Die Kosten sind auf Fr. 5'000.-- festzusetzen (vgl. Art. 2 Abs. 1 i.V.m. Art. 4 des Reglements vom 21. Februar 2008 über die Kosten und Entschädigungen vor dem Bundesverwaltungsgericht [VGKE, SR 173.320.2]). Der von den Beschwerdeführerinnen einbezahlte Kostenvorschuss in gleicher Höhe ist zur Bezahlung dieser Kosten zu verwenden.</w:t>
      </w:r>
    </w:p>
    <w:p>
      <w:r>
        <w:rPr>
          <w:b/>
        </w:rPr>
        <w:t>E. 4.2</w:t>
      </w:r>
    </w:p>
    <w:p>
      <w:r>
        <w:t>Eine Parteientschädigung ist nicht zuzusprechen (vgl. Art. 64 Abs. 1 VwVG e contrario und Art. 7 Abs. 1 VGKE e contrario sowie Art. 7 Abs. 3 VGKE).</w:t>
      </w:r>
    </w:p>
    <w:p>
      <w:r>
        <w:rPr>
          <w:b/>
        </w:rPr>
        <w:t>E. 5</w:t>
      </w:r>
    </w:p>
    <w:p>
      <w:r>
        <w:t>Dieser Entscheid auf dem Gebiet der internationalen Amtshilfe in Steuer-sachen kann gemäss Art. 83 Bst. h des Bundesgesetzes vom 17. Juni 2005 über das Bundesgericht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