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A-5508/2015 vom 10. Mai 2017</w:t>
      </w:r>
    </w:p>
    <w:p>
      <w:r>
        <w:t>Bundesverwaltungsgericht, 2017-05-10, IT</w:t>
      </w:r>
    </w:p>
    <w:p>
      <w:r>
        <w:rPr>
          <w:b/>
        </w:rPr>
        <w:t xml:space="preserve">Quelle: </w:t>
      </w:r>
      <w:r>
        <w:t>https://mcp.opencaselaw.ch/entscheid/bvger_A-5508_2015</w:t>
      </w:r>
    </w:p>
    <w:p>
      <w:r>
        <w:t>FR: TAF A-5508/2015 du 10 mai 2017</w:t>
      </w:r>
    </w:p>
    <w:p>
      <w:r>
        <w:t>IT: TAF A-5508/2015 del 10 maggio 2017</w:t>
      </w:r>
    </w:p>
    <w:p>
      <w:pPr>
        <w:pStyle w:val="Heading2"/>
      </w:pPr>
      <w:r>
        <w:t>Regeste</w:t>
      </w:r>
    </w:p>
    <w:p>
      <w:r>
        <w:t>Imposta preventiva</w:t>
      </w:r>
    </w:p>
    <w:p>
      <w:pPr>
        <w:pStyle w:val="Heading2"/>
      </w:pPr>
      <w:r>
        <w:t>Erwägungen</w:t>
      </w:r>
    </w:p>
    <w:p>
      <w:r>
        <w:rPr>
          <w:b/>
        </w:rPr>
        <w:t>E. 5</w:t>
      </w:r>
    </w:p>
    <w:p>
      <w:r>
        <w:t>Accertata la sussistenza di una prestazione valutabile in denaro soggetta all'imposta preventiva, occorre ora verificare non solo l'importo della ripresa fiscale (cfr. consid. 5.2 che segue), ma anche il calcolo alla sua base (cfr. consid. 5.1 che segue).</w:t>
      </w:r>
    </w:p>
    <w:p>
      <w:r>
        <w:rPr>
          <w:b/>
        </w:rPr>
        <w:t>E. 5.1</w:t>
      </w:r>
    </w:p>
    <w:p>
      <w:r>
        <w:t>In concreto, l'AFC ha calcolato la ripresa fiscale fondandosi sui primi bilanci della società partecipata prodotti dalla società ricorrente (cfr. atto n. 1 inc. AFC). Più nel dettaglio, essa ha preso in considerazione il totale dei versamenti effettuati dalla società partecipata all'azionista C._______ della società ricorrente 1 negli anni 2005, 2006, 2007 e 2008, così come risultanti sotto la dicitura « (-) DISTRIB.LUCRO ISENTO » (cfr. atto n. 1 inc. AFC). Nella misura in cui la quota di partecipazione della ricorrente 1 ammonta a 90% - così come indicato con scritto di posta elettronica del 30 luglio 2009 dall'allora amministratore unico, ossia il ricorrente 2 (cfr. atto n. 8 inc. AFC) - l'AFC ha poi tenuto conto soltanto del 90% di detti versamenti, convertendoli in franchi svizzeri al tasso di cambio del momento: 2005: (Real 86'115.00 x 90%) x 0.56527 = fr. 43'810.40 2006: (Real 48'008.00 x 90%) x 0.57198 = fr. 24'713.65 2007: (Real 486'388.00 x 90%) x 0.63700 = fr. 278'846.25 2008: (Real 118'951.00 x 90%) x 0.45102 = fr. 48'284.35 TOTALE = fr. 395'654.65 In totale, essa ha dunque ritenuto la sussistenza di prestazioni valutabili in denaro dell'importo totale di 395'654.65 franchi e, dunque, di un'imposta preventiva dovuta dalla ricorrente 1 pari a 138'479.15 franchi (= 35% di fr. 395'654.65; cfr. decisione impugnata, considd. 2.1.1 e 4). Di avviso contrario, la ricorrente 1 si oppone al calcolo dell'autorità inferiore, in quanto fondato sui primi bilanci non rettificati. Ribadendo che si tratterebbe di versamenti effettuati a titolo di prestito, la ricorrente 1 sostiene che la società partecipata avrebbe invero effettuato solo due versamenti a favore dell'azionista C._______ dell'importo totale di 506'000 Real/310'048 franchi: uno nel corso del 2007 dell'importo pari a 440'000 Real (equivalenti a fr. 280'280 al cambio di 0.637), l'altro nel corso del 2008 dell'importo pari a 66'000 Real (equivalenti a fr. 29'767 al cambio di 0.4501). Nessun versamento sarebbe dunque stato effettuato nel 2005 e nel 2006 (cfr. ricorso, punti 2.1.2 e 2.1.3). Sennonché, nella misura in cui è stato sancito che determinanti per il presente giudizio sono unicamente i primi bilanci prodotti dalla ricorrente 1 presi in considerazione dall'autorità inferiore (cfr. atto n. 1 inc. AFC; consid. 4.4.1 del presente giudizio), la sua tesi non può essere qui seguita. In tali circostanze, non vi è motivo alcuno per ritenere il calcolo dell'AFC come sbagliato o incompleto, sicché lo stesso va qui confermato.</w:t>
      </w:r>
    </w:p>
    <w:p>
      <w:r>
        <w:rPr>
          <w:b/>
        </w:rPr>
        <w:t>E. 5.2</w:t>
      </w:r>
    </w:p>
    <w:p>
      <w:r>
        <w:t>Ciò sancito, va poi verificato se i crediti d'imposta preventiva - così come calcolati dall'autorità inferiore - sono prescritti o meno. La prescrizione è infatti una questione di diritto che va esaminata d'ufficio dall'autorità e non necessita d'essere sollevata dall'assoggettato (cfr. sentenze del TF 2C_243/2014 del 4 dicembre 2014 consid. 5 con rinvio; 2C_551/2009 del 13 aprile 2010 consid. 2.3; [tra le tante] sentenza del TAF A-2078/2016 del 1° novembre 2016 consid. 4.1 con rinvii; Michael Beusch, Der Untergang der Steuerforderung, 2012, pag. 278; Stephanie Eichenberger, in: Oberson/Hinny [ed.], Commentaire droits de timbre, 2006, n. 5 ad art. 30 LTB).</w:t>
      </w:r>
    </w:p>
    <w:p>
      <w:r>
        <w:rPr>
          <w:b/>
        </w:rPr>
        <w:t>E. 5.2.1</w:t>
      </w:r>
    </w:p>
    <w:p>
      <w:r>
        <w:t>La prescrizione, nella misura in cui concerne l'esistenza del credito fiscale, è di diritto materiale (cfr. sentenze del TF 2C_243/2014 del 4 dicembre 2014 consid. 5 con rinvio; 2C_551/2009 del 13 aprile 2010 consid. 2.3; Beusch, op. cit., pag. 282 seg.; Beusch, VStG-Kommentar, n. 7 ad art. 17 LIP). Per questo motivo, alla stessa risulta applicabile il diritto vigente al momento in cui le circostanze di fatto alla base del gravame hanno avuto luogo. Nella fattispecie, la prescrizione dei crediti fiscali in materia di imposta preventiva è retta dall'art. 17 LIP. Per i redditi di capitali mobili il credito fiscale sorge alla scadenza della prestazione imponibile (art. 12 cpv. 1 LIP) e si prescrive in cinque anni a contare dalla fine dell'anno civile in cui è sorto (cfr. art. 17 cpv. 1 LIP). Detto termine di prescrizione è relativo, nella misura in cui è soggetto alla sospensione e all'interruzione (cfr. art. 17 cpv. 2 e 3 LIP; circa gli atti interruttivi della prescrizione [tra le tante] sentenza del TAF A-1449/2015 del 2 novembre 2015 consid. 3.2.2 con rinvii, confermata dal TF con sentenza 2C_1095/2015 del 27 maggio 2016 consid. 4.3.3). Ad ogni interruzione della prescrizione, un nuovo termine di cinque anni inizia pertanto a decorrere (cfr. Beusch, VStG-Kommentar, n. 10 e 17 ad art. 17 LIP con rinvii).</w:t>
      </w:r>
    </w:p>
    <w:p>
      <w:r>
        <w:rPr>
          <w:b/>
        </w:rPr>
        <w:t>E. 5.2.2</w:t>
      </w:r>
    </w:p>
    <w:p>
      <w:r>
        <w:t>In concreto, la ripresa fiscale operata nei confronti della società ricorrente 1 concerne l'imposta preventiva relativa agli anni 2005, 2006, 2007 e 2008 in rapporto ai dividendi incassati dall'azionista C._______, azionista unico della società ricorrente 1, qualificati di prestazioni valutabili in denaro sotto la forma di distribuzioni dissimulate di utili. Dall'esame degli atti dell'incarto risulta chiaramente che il termine di prescrizione di 5 anni ex art. 17 cpv. 1 LIP è stato interrotto dall'AFC nei confronti della ricorrente 1 per la prima volta con scritto 13 dicembre 2010 per l'esercizio 2005 (cfr. allegato all'atto n. 10 inc. AFC), con scritto 5 dicembre 2011 per l'esercizio 2006 (cfr. allegato all'atto n. 10 inc. AFC) e con scritto 6 dicembre 2012 per l'esercizio 2007 (cfr. allegato all'atto n. 10 inc. AFC). Con detta interruzione è iniziato a decorrere un nuovo termine di prescrizione di 5 anni, poi interrotto nuovamente dall'AFC per i tre predetti esercizi nonché per l'esercizio 2008 con il conteggio dell'8 luglio 2013 (cfr. atto n. 15 inc. AFC). A sua volta, il nuovo termine di prescrizione 5 anni che ne è scaturito è anch'esso stato interrotto dall'AFC per i quattro esercizi con decisione del 28 aprile 2014 (cfr. atto n. 16 inc. AFC). Lo stesso è poi ulteriormente avvenuto a seguito della decisione su reclamo del 30 luglio 2015 dell'AFC (cfr. consid. 5.2.1 del presente giudizio). In tali circostanze, si deve dunque ritenere che nessuno dei crediti fiscali in oggetto risulta tutt'ora prescritto ai sensi dell'art. 17 LIP. La ripresa fiscale pari a 138'479.15 franchi, oltre accessori, operata nei confronti della società ricorrente 1 va pertanto qui confermata.</w:t>
      </w:r>
    </w:p>
    <w:p>
      <w:r>
        <w:rPr>
          <w:b/>
        </w:rPr>
        <w:t>E. 6</w:t>
      </w:r>
    </w:p>
    <w:p>
      <w:r>
        <w:t>Constata l'entità della ripresa fiscale, occorre ancora determinare il cerchio dei contribuenti soggetti al pagamento posticipato dell'imposta preventiva elusa a torto. In concreto, soggetta al pagamento dell'imposta preventiva risulta essere la società ricorrente 1, nella misura in cui la stessa è chiaramente la debitrice del credito fiscale in oggetto ai sensi dell'art. 10 cpv. 1 LIP (cfr. consid. 3.2 del presente giudizio). Ciò sancito, come già anticipato in ingresso, rimane riservata l'eventuale constatazione da parte dell'autorità inferiore di una responsabilità solidale ai sensi dell'art. 15 LIP, rispettivamente dell'art. 12 cpv. 3 DPA, a carico del ricorrente 2, sulla quale quest'ultima dovrà statuire nuovamente tenuto conto del rinvio della causa (cfr. consid. 2.3.5 del presente giudizio).</w:t>
      </w:r>
    </w:p>
    <w:p>
      <w:r>
        <w:rPr>
          <w:b/>
        </w:rPr>
        <w:t>E. 7</w:t>
      </w:r>
    </w:p>
    <w:p>
      <w:r>
        <w:t>In definitiva, lo scrivente Tribunale deve constatare che è a giusta ragione che l'autorità inferiore ha proceduto nei confronti della società ricorrente 1 alla riscossione posticipata ai sensi dell'art. 12 cpv. 2 DPA dell'imposta preventiva dell'importo di 138'479.15 franchi, oltre accessori. Su questo punto, la decisione impugnata va pertanto confermata e il ricorso della ricorrente 1 integralmente respinto. Come visto, nella misura in cui sussiste una grave violazione del diritto di essere sentito del ricorrente 2, la decisione impugnata deve invece essere annullata e la causa rinviata all'autorità inferiore affinché statuisca nuovamente ai sensi del consid. 2.3.5 del presente giudizio. Di conseguenza, il ricorso del ricorrente 2 va accolto.</w:t>
      </w:r>
    </w:p>
    <w:p>
      <w:r>
        <w:rPr>
          <w:b/>
        </w:rPr>
        <w:t>E. 8</w:t>
      </w:r>
    </w:p>
    <w:p>
      <w:r>
        <w:t>Considerato l'esito della lite, ossia l'accoglimento del ricorso del ricorrente 2 e il respingimento del ricorso della società ricorrente 1, giusta l'art. 63 cpv. 1 PA, le spese di procedura sono poste a carico della sola ricorrente 1 (cfr. art. 1 segg. del regolamento del 21 febbraio 2008 sulle tasse e sulle spese ripetibili nelle cause dinanzi al Tribunale amministrativo federale [TS-TAF, RS 173.320.2]). Nella fattispecie esse sono stabilite in 4'000 franchi (cfr. art. 4 TS-TAF), importo che, alla crescita in giudicato del presente giudizio, verrà detratto interamente dall'anticipo spese di 4'000 franchi versato a suo tempo dalla ricorrente 1. Alla crescita in giudicato del presente giudizio l'anticipo spese di 4'000 franchi, versato a suo tempo dal ricorrente 2, verrà invece restituito a quest'ultimo, previa indicazione delle coordinate bancarie o postali sulle quali effettuare detto versamento. Ciò sancito, vi è inoltre luogo di assegnare delle indennità di ripetibili al ricorrente 2, qui parte vincente patrocinata da un avvocato (cfr. art. 64 cpv. 1 PA, rispettivamente art. 7 cpv. 1 TS-TAF). Tenuto conto della complessità della causa e degli atti dell'incarto, l'indennità è fissata a 6'000 franchi e posta a carico dell'autorità inferiore, la quale dovrà provvedere al suo versamento alla crescita in giudicato del presente giudizio. Nella misura in cui la ricorrente 1 è invece parte totalmente soccombente la stessa non ha diritto a delle indennità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