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A-5468/2014 vom 27. November 2014</w:t>
      </w:r>
    </w:p>
    <w:p>
      <w:r>
        <w:t>Bundesverwaltungsgericht, 2014-11-27, DE</w:t>
      </w:r>
    </w:p>
    <w:p>
      <w:r>
        <w:rPr>
          <w:b/>
        </w:rPr>
        <w:t xml:space="preserve">Quelle: </w:t>
      </w:r>
      <w:r>
        <w:t>https://mcp.opencaselaw.ch/entscheid/bvger_A-5468_2014</w:t>
      </w:r>
    </w:p>
    <w:p>
      <w:r>
        <w:t>FR: TAF A-5468/2014 du 27 novembre 2014</w:t>
      </w:r>
    </w:p>
    <w:p>
      <w:r>
        <w:t>IT: TAF A-5468/2014 del 27 novembre 2014</w:t>
      </w:r>
    </w:p>
    <w:p>
      <w:pPr>
        <w:pStyle w:val="Heading2"/>
      </w:pPr>
      <w:r>
        <w:t>Regeste</w:t>
      </w:r>
    </w:p>
    <w:p>
      <w:r>
        <w:t>Turnen und Sport</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sie von einer Vorinstanz nach Art. 33 VGG stammen und keine Ausnahme nach Art. 32 VGG vorliegt. Als Verfügungen im Sinne von Art. 5 VwVG gelten auch selbständig eröffnete Zwischenverfügungen (vgl. Art. 5 Abs. 2 VwVG). Die vorliegend zu beurteilende Beschwerde richtet sich gegen die Anordnung einer vorsorglichen Massnahme, die unbestrittenermassen eine selbständig eröffnete Zwischenverfügung darstellt. Eine Beschwerde gegen solche Verfügungen ist allerdings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w:t>
      </w:r>
    </w:p>
    <w:p>
      <w:r>
        <w:rPr>
          <w:b/>
        </w:rPr>
        <w:t>E. 1.2</w:t>
      </w:r>
    </w:p>
    <w:p>
      <w:r>
        <w:t>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2013, Rz. 910). Der nicht wiedergutzumachende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Bundesverwaltungsgerichts A-2082/2014 vom 9. Juli 2014 E. 21 mit Hinweisen und A 1081/2014 vom 23. April 2014 E. 1.3 mit Hinweis; Moser/Beusch/Kneubühler, Prozessieren vor dem Bundesverwaltungsgericht, 2. Aufl. 2013, Rz. 2.42 ff.; Jérôme Candrian, Introduction à la procédure administrative fédérale, Basel 2013, Nr. 108-109, S. 71 f.). Er muss nicht geradezu irreparabel, jedoch von einigem Gewicht sein (vgl. Urteil des Bundesverwaltungsgerichts A-3043/2011 vom 15. März 2012 E. 1.2.3; Kölz/Häner/Bertschi, a.a.O., Rz. 910; Moser/Beusch/Kneubühler, a.a.O.,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Zürich 2008, Art. 46 N. 10). Die Beweislast für das Vorliegen eines entsprechenden Nachteils trägt die beschwerdeführende Partei (vgl. BGE 125 II 620 E. 2a; Urteil des Bundesverwaltungsgerichts B-5436/2011 vom 5. März 2012 E. 3.4; Kölz/Häner/Bertschi, a.a.O., Rz. 909). Bewirkt eine Zwischenverfügung dagegen keinen nicht wieder gutzumachenden Nachteil, so kann sie erst mit Beschwerde gegen die Endverfügung angefochten werden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(BGE 135 II 30 E. 1.3.2; Urteil des Bundesverwaltungsgerichts A-2160/2010 vom 3. Januar 2011 E. 2.2.3 mit Hinweisen).</w:t>
      </w:r>
    </w:p>
    <w:p>
      <w:r>
        <w:rPr>
          <w:b/>
        </w:rPr>
        <w:t>E. 1.3</w:t>
      </w:r>
    </w:p>
    <w:p>
      <w:r>
        <w:t>Die angefochtene Verfügung stellt eine selbständig eröffnete Zwischenverfügung dar, denn sie betrifft einzig die Frage der vorläufigen Sistierung der J+S-Anerkennungen der Beschwerdeführerin, nicht aber die Hauptstreitfrage betreffend den definitiven Entzug dieser Anerkennungen. Die Beschwerdeführerin macht in Bezug auf ihre Beschwerdelegitimation in der Beschwerde vom 25. September 2014 geltend, mit der getroffenen Massnahme werde ihr das berufliche und wirtschaftliche Fortkommen verunmöglicht. Sie legt aber nicht dar, inwiefern sie einen nicht wieder gutzumachenden wirtschaftlichen Nachteil erleide, wenn sie die Zwischenverfügung erst zusammen mit der Beschwerde gegen die Endverfügung anfechten könne. Ein solcher Nachteil ist denn auch nicht ersichtlich. So macht die Beschwerdeführerin nicht geltend, sie sei zurzeit in einem Verein tätig, der seine Tätigkeit bei J+S angemeldet habe. Davon geht die Vorinstanz auch in ihrer Vernehmlassung nicht mehr aus. Da die Beschwerdeführerin aktuell offenbar nicht als Trainerin bzw. zumindest nicht in einem von J+S geförderten Verein als Trainerin tätig ist, entsteht ihr durch die Sistierung der J+S-Anerkennungen derzeit kein erkennbarer nicht wiedergutzumachender Nachteil.</w:t>
      </w:r>
    </w:p>
    <w:p>
      <w:r>
        <w:rPr>
          <w:b/>
        </w:rPr>
        <w:t>E. 1.4</w:t>
      </w:r>
    </w:p>
    <w:p>
      <w:r>
        <w:t>In der angefochtenen Verfügung wurde im Dispositiv nach anfänglicher richtiger Nennung der Beschwerdeführerin fälschlicherweise B._______ untersagt, in einem Kader von Jugend und Sport tätig zu sein. Die Beschwerdeführerin stellt deshalb die Frage, ob eine derart unklare Verfügung überhaupt irgendwelche Rechtswirkungen entfalten kann bzw. nicht bereits auch aus diesem Grunde aufzuheben ist.</w:t>
      </w:r>
    </w:p>
    <w:p>
      <w:r>
        <w:rPr>
          <w:b/>
        </w:rPr>
        <w:t>E. 1.4.1</w:t>
      </w:r>
    </w:p>
    <w:p>
      <w:r>
        <w:t>Fehlerhafte Verfügungen sind grundsätzlich genauso rechtswirksam wie fehlerfreie Verfügungen. In seltenen Fällen bewirkt die Fehlerhaftigkeit einer Verfügung deren Nichtigkeit. Als Nichtigkeitsgründe anerkennen Lehre und Rechtsprechung namentlich die sachliche Unzuständigkeit sowie schwere Verfahrens- oder Eröffnungsfehler, aber nur ganz ausnahmsweise (schwerste) inhaltliche Mängel (Pierre Tschannen/Ulrich Zimmerli/Markus Müller, Allgemeines Verwaltungsrecht, 4. Aufl., 2014, § 31 Rz. 13 ff.).</w:t>
      </w:r>
    </w:p>
    <w:p>
      <w:r>
        <w:rPr>
          <w:b/>
        </w:rPr>
        <w:t>E. 1.4.2</w:t>
      </w:r>
    </w:p>
    <w:p>
      <w:r>
        <w:t>Vorliegend wurde die angefochtene Verfügung der richtigen Adressatin eröffnet. Bis auf eine einmalige versehentliche Nennung von B._______ wird die Beschwerdeführerin als Verfahrenssubjekt bezeichnet, die ebenfalls von den Untersuchungen und Vorwürfen der Vorinstanz betroffen ist. Daher kann nicht von einem inhaltlichen schwersten Mangel ausgegangen werden, der zur Nichtigkeit der angefochtenen Verfügung führte.</w:t>
      </w:r>
    </w:p>
    <w:p>
      <w:r>
        <w:rPr>
          <w:b/>
        </w:rPr>
        <w:t>E. 1.5</w:t>
      </w:r>
    </w:p>
    <w:p>
      <w:r>
        <w:t>Nach dem Gesagten ist das Vorliegen eines nicht wieder gutzumachenden Nachteils im Sinn von Art. 46 Abs. 1 Bst. a VwVG zu verneinen. Es ist weder dargetan noch ersichtlich, inwiefern der Beschwerdeführerin dadurch, dass sie ihre Einwände gegen das Vorgehen der Vorinstanz gegebenenfalls erst im Rahmen der Anfechtung eines Entscheids über einen definitiven Entzug der J+S-Anerkennungen vorbringen kann, einen nicht wieder gutzumachender Nachteil erleiden könnte.</w:t>
      </w:r>
    </w:p>
    <w:p>
      <w:r>
        <w:rPr>
          <w:b/>
        </w:rPr>
        <w:t>E. 1.6</w:t>
      </w:r>
    </w:p>
    <w:p>
      <w:r>
        <w:t>Fehlt es somit am erforderlichen nicht wieder gutzumachenden Nachteil, ist auf die Beschwerde nicht einzutreten, zumal es unbestrittenermassen auch an der Voraussetzung von Art. 46 Abs. 1 Bst. b VwVG mangelt und sich die angefochtene Verfügung auch nicht als nichtig erweist.</w:t>
      </w:r>
    </w:p>
    <w:p>
      <w:r>
        <w:rPr>
          <w:b/>
        </w:rPr>
        <w:t>E. 2.1</w:t>
      </w:r>
    </w:p>
    <w:p>
      <w:r>
        <w:t>Bei diesem Ausgang des Verfahrens sind der Beschwerdeführerin als unterliegende Partei die reduzierten Verfahrenskosten von Fr. 500.-- aufzuerlegen (Art. 63 Abs. 1 VwVG und Art. 2 Abs. 3 des Reglements vom 21. Februar 2008 über die Kosten und Entschädigungen vor dem Bundesverwaltungsgericht [VGKE, SR 173.320.2]). Diese sind mit dem von ihr geleisteten Kostenvorschuss in der Höhe von Fr. 800.-- zu verrechnen. Der Restbetrag ist ihr nach Eintritt der Rechtskraft des vorliegenden Urteils zurückzuerstatten.</w:t>
      </w:r>
    </w:p>
    <w:p>
      <w:r>
        <w:rPr>
          <w:b/>
        </w:rPr>
        <w:t>E. 2.2</w:t>
      </w:r>
    </w:p>
    <w:p>
      <w:r>
        <w:t>Weder die unterliegende Beschwerdeführerin noch die obsiegende Vorinstanz haben Anspruch auf eine Parteientschädigung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