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A-5449/2007 vom 10. Januar 2008</w:t>
      </w:r>
    </w:p>
    <w:p>
      <w:r>
        <w:t>Bundesverwaltungsgericht, 2008-01-10, DE</w:t>
      </w:r>
    </w:p>
    <w:p>
      <w:r>
        <w:rPr>
          <w:b/>
        </w:rPr>
        <w:t xml:space="preserve">Quelle: </w:t>
      </w:r>
      <w:r>
        <w:t>https://mcp.opencaselaw.ch/entscheid/bvger_A-5449_2007</w:t>
      </w:r>
    </w:p>
    <w:p>
      <w:r>
        <w:t>FR: TAF A-5449/2007 du 10 janvier 2008</w:t>
      </w:r>
    </w:p>
    <w:p>
      <w:r>
        <w:t>IT: TAF A-5449/2007 del 10 gennaio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eine Vorinstanz im Sinn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Im vorliegenden Fall ist das Anfechtungsobjekt der Einspracheentscheid der ESTV vom 3. Juli 2007 und der Streitgegenstand ist die Frage, ob der Beschwerdeführer den Mehrwertsteuerbetrag von Fr. ... (nebst Verzugszins) schulde, den die Verwaltung in der "Steuerkorrektur Ärzte-Tagungen" aufgrund der buchhalterisch ausgewiesenen Entschädigungen berechnete (zu Anfechtungsobjekt und Streitgegenstand vgl. Urteil des Bundesverwaltungsgerichts A-1443/2007 vom 25. September 2007 E. 1.2). Nicht zum Streitgegenstand gehören hingegen die vom Beschwerdeführer für das zweite und dritte Quartal 2002 geltend gemachten Forderungen (aus Vorsteuerguthaben) einschliesslich Verzugszinsen, da die ESTV darüber im angefochtenen Einspracheentscheid nicht verfügt hat, sodass das Bundesverwaltungsgericht in dieser Hinsicht auf die Beschwerde nicht eintreten kann; es kommt hinzu, dass die Verrechnung gegen den Willen der Verwaltung gemäss Art. 125 Ziff. 3 des Bundesgesetzes vom 30. März 1911 betreffend Ergänzung des Schweizerischen Zivilgesetzbuches (Fünfter Teil: Obligationenrecht [OR, SR 220]) ohnehin nicht möglich ist (Urteil des Bundesverwaltungsgerichts A-1608/2006 vom 8. Mai 2007 E. 2.2).</w:t>
      </w:r>
    </w:p>
    <w:p>
      <w:r>
        <w:rPr>
          <w:b/>
        </w:rPr>
        <w:t>E. 2.1</w:t>
      </w:r>
    </w:p>
    <w:p>
      <w:r>
        <w:t>Der in Art. 9 der Bundesverfassung vom 18. April 1999 (BV, SR 101)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Bundesgerichtes 2A.83/2006 vom 18. Oktober 2006 E. 7.1, 2A. 455/2006 vom 1. März 2007 E. 3.2, 2C.263/2007 vom 24. August 2007 E. 6.2; Urteile des Bundesverwaltungsgerichts A-1419/2006 vom 31. Oktober 2007 E. 7.1, A-1520/2006 vom 29. August 2007 E. 3, A-1359/2006 vom 26. Juli 2007 E. 6.2, A-1404/2006 vom 21. Juni 2007 E. 6, A-1377/2006 vom 20. März 2007 E. 2.4, A-1338/2006 vom 12. März 2007 E. 4.1, A-1366/2006 vom 28. Februar 2007 E. 2.3, A-1358/2006 vom 1. Februar 2007 E. 3.1; Arthur Haefliger, Alle Schweizer sind vor dem Gesetze gleich, Bern 1985, S. 220 f.; Häfelin/Müller/Uhlmann, a.a.O., Rz. 622 ff.; René A. Rhinow/Beat Krähenmann, Schweizerische Verwaltungsrechtsprechung, Ergänzungsband, Basel/Frankfurt am Main 1990, Nr. 74 und Nr. 75 B III/b/2; Beatrice Weber-Dürler, Vertrauensschutz im Öffentlichen Recht, Basel/Frankfurt am Main 1983, S. 79 ff., 128 ff.). Es besteht jedoch keinerlei Pflicht der ESTV, bei Auskünften den Sachverhalt nach Eventualitäten zu durchforschen. Ebenso wenig unterliegt die Verwaltung im Mehrwertsteuerrecht, welches durch das Selbstveranlagungsprinzip gekennzeichnet ist, einer allgemeinen Informations-, Aufklärungs- oder gar Beratungspflicht gegenüber dem Mehrwertsteuerpflichtigen (Urteil des Bundesverwaltungsgerichts A-1358/2006 vom 1. Februar 2007 E. 3.3; Entscheid der Eidgenössischen Steuerrekurskommission [SRK] vom 6. Oktober 2003, veröffentlicht in Verwaltungspraxis der Bundesbehörden [VPB] 68.57 E. 7c; vgl. Entscheid der Eidgenössischen Zollrekurskommission [ZRK] vom 2. Oktober 1995, veröffentlicht in Archiv für schweizerisches Abgaberecht [ASA] 65 S. 412). Das Gebot des staatlichen Handelns nach Treu und Glauben kann selbstverständlich im konkreten Einzelfall erfordern, dass die ESTV den Mehrwertsteuerpflichtigen auf - diesem nicht bewusst werdende - mehrwertsteuerliche Folgen von Sachverhalten hinweist. Hierzu bedarf es aber hinreichender Kenntnis der Verwaltung über diese konkreten Sachverhalte.</w:t>
      </w:r>
    </w:p>
    <w:p>
      <w:r>
        <w:rPr>
          <w:b/>
        </w:rPr>
        <w:t>E. 2.2</w:t>
      </w:r>
    </w:p>
    <w:p>
      <w:r>
        <w:t>Die Voraussetzungen der subjektiven Mehrwertsteuerpflicht bei der Inlandsteuer ergeben sich aus Art. 21 MWSTG. Demnach ist mehrwertsteuerpflichtig, wer eine mit der Erzielung von Einnahmen verbundene Tätigkeit selbständig ausübt, sofern seine Lieferungen, seine Dienstleistungen und sein Eigenverbrauch im Inland jährlich gesamthaft Fr. 75'000.-- übersteigen. Ob und wann der Mehrwertsteuerpflichtige diese Voraussetzungen erfüllt, hat er aufgrund des bei der Mehrwertsteuer geltenden Selbstveranlagungsprinzips selber zu klären (vgl. Art. 46 f. MWSTG, vgl. Urteil des Bundesgerichts 2A.109/2005 vom 10. März 2006 E. 2.1; Urteil des Bundesverwaltungsgerichts A-1429/2006 vom 29. August 2007 E. 2.1; Entscheide der SRK vom 9. Dezember 2003, veröffentlicht in VPB 67.51 E. 2a.aa, vom 20. Januar 2003, veröffentlicht in VPB 67.79 E. 2a).</w:t>
      </w:r>
    </w:p>
    <w:p>
      <w:r>
        <w:rPr>
          <w:b/>
        </w:rPr>
        <w:t>E. 2.3</w:t>
      </w:r>
    </w:p>
    <w:p>
      <w:r>
        <w:t>Der Mehrwertsteuer unterliegen unter anderem im Inland gegen Entgelt erbrachte Lieferungen und Dienstleistungen (Art. 5 Bst. a und b MWSTG). Dabei gilt jede Leistung, die keine Lieferung eines Gegenstandes ist, als Dienstleistung (Art. 7 Abs. 1 MWSTG). Ob eine Dienstleistung im Inland erbracht wird oder nicht, regeln die Vorschriften über den Dienstleistungsort.</w:t>
      </w:r>
    </w:p>
    <w:p>
      <w:r>
        <w:rPr>
          <w:b/>
        </w:rPr>
        <w:t>E. 2.4.1</w:t>
      </w:r>
    </w:p>
    <w:p>
      <w:r>
        <w:t>Gemäss Art. 14 MWSTG gilt als Ort einer Dienstleistung unter dem Vorbehalt der Absätze 2 und 3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In Art. 14 Abs. 2 MWSTG werden Spezialfälle aufgelistet, bei denen für die Bestimmung des Orts der Dienstleistungen unter anderem auf den Ort der gelegenen Sache abgestellt wird oder der Tätigkeitsort massgebend ist. Die in Art. 14 Abs. 3 MWSTG unter den Bst. a bis h aufgezählten Dienstleistungen werden hingegen am Ort ausgeführt, an dem der Empfänger den Sitz seiner wirtschaftlichen Tätigkeit oder eine Betriebsstätte hat, für welche die Dienstleistungen erbracht werden, oder in Ermangelung eines solchen Sitzes oder einer solchen Betriebsstätte am Wohnort oder am Ort, von dem aus er tätig wird. Im Gegensatz zu Art. 14 Abs. 1 MWSTG wird somit nicht auf den Sitzort des Dienstleistungserbringers, sondern des Dienstleistungsempfängers abgestellt (Empfängerortsprinzip). Dies deshalb, weil bei den in diesem Absatz aufgeführten Dienstleistungen der Ort des Verbrauchs im Normalfall mit dem Empfängerort zusammenfällt (Alois Camenzind/Niklaus Honauer/Klaus A. Vallender, Handbuch zum Mehrwertsteuergesetz, Bern 2003, 2. Aufl., Rz. 600; Dieter Metzger, Kurzkommentar zum Mehrwertsteuergesetz, Bern 2000, S. 44 Rz. 10).</w:t>
      </w:r>
    </w:p>
    <w:p>
      <w:r>
        <w:rPr>
          <w:b/>
        </w:rPr>
        <w:t>E. 2.4.2</w:t>
      </w:r>
    </w:p>
    <w:p>
      <w:r>
        <w:t>Art. 14 Abs. 3 MWSTG verwirklicht das im grenz-überschreitenden Waren- und Dienstleistungsverkehr geltende Bestimmungslandprinzip. Dieses Prinzip besagt, dass eine Leistung dort besteuert wird, wo sie konsumiert und verbraucht wird (Jörg R. Bühlmann, in mwst.com, Basel/Genf/München 2000, Vorbemerkung zu Art. 19 Rz. 1; Daniel Riedo, Vom Wesen der Mehrwertsteuer als allgemeine Verbrauchsteuer und von den entsprechenden Wirkungen auf das schweizerische Recht, Bern 1999, S. 62; Urteile des Bundesverwaltungsgerichts A-1416/2006 vom 27. September 2007 E. 2.2.2, A 1361/2006 vom 19. Februar 2007 E. 5.4; Entscheide der SRK vom 31. Mai 2001, veröffentlicht in VPB 65.105 E. 3d/aa, vom 2. November 2004, veröffentlicht in VPB 69.64 E. 2b). Das Bestimmungslandprinzip, das die Befreiung der Exporte und die Belastung der Importe resp. die Verlagerung des Orts der Leistung in das Bestimmungsland verlangt, kann als Ausfluss des Grundsatzes der Wettbewerbsneutralität bewertet werden (Camenzind/Honauer/ Vallender, a.a.O., Rz. 68; Xavier Oberson, Les principes directeurs et constitutionnels régissant la taxe sur la valeur ajoutée, veröffentlicht in Revue de droit administratif et de droit fiscal et Revue genevoise de droit public [RDAF] 1997 II S. 38).</w:t>
      </w:r>
    </w:p>
    <w:p>
      <w:r>
        <w:rPr>
          <w:b/>
        </w:rPr>
        <w:t>E. 3</w:t>
      </w:r>
    </w:p>
    <w:p>
      <w:r>
        <w:t>Im vorliegenden Fall bestreitet der Beschwerdeführer seine Mehrwertsteuerpflicht und macht mit Bezug auf die Auskunft der ESTV geltend, seine Umsätze, die er mit B._______ erzielt habe, unterlägen nicht der Mehrwertsteuer.</w:t>
      </w:r>
    </w:p>
    <w:p>
      <w:r>
        <w:rPr>
          <w:b/>
        </w:rPr>
        <w:t>E. 3.1</w:t>
      </w:r>
    </w:p>
    <w:p>
      <w:r>
        <w:t>Der Beschwerdeführer hat nach seiner Anmeldung als Mehrwertsteuerpflichtiger vom 8. Dezember 1996 die Mehrwertsteuerabrechungen ab dem 1. Januar 1997 eingereicht, entsprechend abgerechnet und die Vorsteuerabzüge geltend gemacht. Es besteht kein Zweifel darüber, dass seine Mehrwertsteuerpflicht gegeben war (E. 2.2). Die Einwände des Beschwerdeführers gehen denn auch eher in die Richtung, seine Umsätze würden der Mehrwertsteuer nicht unterliegen, seien davon befreit oder von der Mehrwertsteuer ausgenommen.</w:t>
      </w:r>
    </w:p>
    <w:p>
      <w:r>
        <w:rPr>
          <w:b/>
        </w:rPr>
        <w:t>E. 3.2</w:t>
      </w:r>
    </w:p>
    <w:p>
      <w:r>
        <w:t>Zur Berechnung der Mehrwertsteuerforderung hat die ESTV auf die Buchhaltung des Beschwerdeführers abgestellt. Die gesamten Entschädigungen des Beschwerdeführers für die Ärzte-Tagungen betrugen Fr. ... im Jahr 2001 und Fr. ... im Jahr 2002. Davon hat die Verwaltung die echt befreiten Leistungen (internationale Flüge und Bahntransportleistungen), die von der Mehrwertsteuer unecht ausgenommenen Leistungen (kulturelle Dienstleistungen) abgezogen und die Differenz entweder zum Normalsatz von 7.6% und die Beherbergungsleistungen zum Sondersatz von 3.6% besteuert. Zum Normalsatz wurden gemäss Art. 14 Abs. 1 MWSTG auch die Erträge aus den Organisationsdienstleistungen besteuert. Dies ergab die Nachforderung gemäss der EA Nr. ... von Fr. .... Aufgrund der Einsprache des Beschwerdeführers hat die ESTV im Einspracheentscheid vom 3. Juli 2007 die nach Art. 90 Abs. 2 Bst. b MWSTG an den ausländischen Kunden des Beschwerdeführers vergütungsberechtigte Mehrwertsteuer von Fr. ... dem Beschwerdeführer gutgeschrieben und berücksichtigte dabei die mit dem Mehrwertsteuerpflichtigen geführte Vorkorrespondenz - insbesondere ihr Schreiben vom 14. April 1998 - betreffend die Besteuerung seiner Umsätze aus den Organisations- und Betreuungsdienstleistungen für die B._______. Die Berechnung des geschuldeten Mehrwertsteuerbetrags durch die ESTV erweist sich in allen Teilen als korrekt. Die der Mehrwertsteuer unterworfenen Dienstleistungen wurden im Inland erbracht (E. 2.3, 2.4.1). Es handelte sich dabei um die Organisationsdienstleistungen nach Art. 14 Abs. 1 MWSTG, um Transportleistungen im Inland, Beherbergungs- und Verpflegungskosten im Inland, Raummieten, Kosten für Technik, Drucksachen, Hilfsmaterial, Führungen, Trinkgelder und Geschenke. Der Beschwerdeführer wendet denn auch zu Recht gegen die Berechnung der Mehrwertsteuerforderung nichts ein. Die Kundin des Beschwerdeführers hat nach Art. 90 Abs. 2 Bst. c MWSTG einen Vergütungsanspruch, der die gesamte Mehrwertsteuer oder einen Teil davon betrifft (Art. 38 MWSTG betrifft geschäftlich nicht begründete Aufwendungen, die vorwiegend der Freude dienen und 50% der Steuerbeträge auf Ausgaben für Verpflegung und Getränke). In diesem Umfang des gerechneten Vergütungsanspruchs der ausländischen Kundin des Beschwerdeführers hat die ESTV ihre Forderung reduziert.</w:t>
      </w:r>
    </w:p>
    <w:p>
      <w:r>
        <w:rPr>
          <w:b/>
        </w:rPr>
        <w:t>E. 3.3</w:t>
      </w:r>
    </w:p>
    <w:p>
      <w:r>
        <w:t>Es stellt sich aber immerhin noch die Frage, wie der Beschwerdeführer das Schreiben der ESTV vom 14. April 1998 verstehen durfte und welche Wirkungen es zeitigt. Der Mehrwertsteuerpflichtige versteht das besagte Schreiben so, dass alle Umsätze im Rahmen der Organisation und der Durchführung der Ärzte-Tagungen für die B._______ im fraglichen Zeitraum der Jahre 2001 und 2002 steuerbefreit sind. Er macht geltend, er habe sich auf das Schreiben der ESTV vom 14. April 1998 verlassen, aus dem eindeutig die Steuerbefreiung seiner gesamten damaligen Tätigkeit hervorgehe. Dies gehe auch daraus hervor, dass seine Mehrwertsteuer-Rückforderungen in den folgenden Jahren anstandslos bezahlt worden seien. Die Verwaltung hingegen stellt sich auf den Standpunkt, dass von den Voraussetzungen, wonach unrichtige Zusicherungen, Auskünfte, Mitteilungen oder Empfehlungen von Behörden nach dem Grundsatz von Treu und Glauben Rechtswirkungen zu entfalten vermögen, die erste Voraussetzung, wonach Behörden in einer konkreten Situation mit Bezug auf bestimmte Personen gehandelt haben müssen, nicht erfüllt sei. Einzig für die allgemeine Antwort werde ein Treu und Glauben begründendes Rechtsverhältnis geschaffen, dem die ESTV Rechnung trage. Ihre Auskunft habe unter dem neuen Recht des MWSTG keine Wirkung mehr (Anhang 1, S. 1 zum Kontrollbericht vom 28. Februar 2003). Eine unrichtige Auskunft einer Verwaltungsbehörde ist nur bindend, wenn die Behörde in einer konkreten Situation mit Bezug auf bestimmte Personen gehandelt hat, wenn sie für die Erteilung der betreffenden Auskunft zuständig war,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(E. 2.1). Die MWSTV wurde auf den 1. Januar 2001 durch das MWSTG abgelöst. In der dazu im Sommer 2000 von der ESTV herausgegebenen "Wegleitung 2001 zur Mehrwertsteuer" (Wegleitung 2001) weist die Verwaltung ausdrücklich darauf hin, dass mündliche oder schriftliche Auskünfte, die unter dem Recht der MWSTV erteilt wurden, und mit dem Inhalt der Wegleitung 2001 (bzw. mit dem neuen Recht) nicht übereinstimmten, nicht für geschäftliche Vorgänge gelten, die ab dem 1. Januar 2001 erfolgen. Dies hätte den Beschwerdeführer veranlassen müssen, das neue Gesetz und die Wegleitung 2001 im Rahmen seiner Pflicht zur Selbstveranlagung (Art. 46 MWSTG) sorgfältig zu studieren oder die ESTV gegebenenfalls erneut um Auskunft zu ersuchen. Er kann sich für die Zeit ab dem 1. Januar 2001 nicht mehr auf die Auskunft der Verwaltung vom 14. April 1998 verlassen, da die gesetzliche Ordnung seit der Auskunftserteilung vom 14. April 1998 auf den 1. Januar 2001 eine Änderung erfahren hat, die auch für die Besteuerung der Dienstleistungen des Beschwerdeführers wesentlich war. Insbesondere wurden seit diesem Zeitpunkt seine im Inland erbrachten Organisationsdienstleistungen der Besteuerung unterzogen (Art. 14 Abs. 1 MWSTG). Es ist deshalb das ab dem 1. Januar 2001 geltende MWSTG ohne Einschränkung anzuwenden. Damit kann offen bleiben, ob die übrigen Voraussetzungen erfüllt wären, die zum Schutz des guten Glaubens und des Vertrauens des Beschwerdeführers auf behördliche Auskünfte führen müssten; die Beschwerde ist deshalb abzuweisen.</w:t>
      </w:r>
    </w:p>
    <w:p>
      <w:r>
        <w:rPr>
          <w:b/>
        </w:rPr>
        <w:t>E. 4</w:t>
      </w:r>
    </w:p>
    <w:p>
      <w:r>
        <w:t>Bei diesem Ausgang des Verfahrens hat der Beschwerdeführer die Verfahrenskosten zu tragen (Art. 63 Abs. 1 VwVG). Sie werden gemäss Art. 4 des Reglements vom 11. Dezember 2006 über die Kosten und Entschädigungen vor dem Bundesverwaltungsgericht (VGKE, SR 173.320.2) auf Fr. 2'000.-- festgesetzt und mit dem Kostenvorschuss des Beschwerdeführers in der gleichen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