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A-5410/2022 vom 9. Oktober 2024</w:t>
      </w:r>
    </w:p>
    <w:p>
      <w:r>
        <w:t>Bundesverwaltungsgericht, 2024-10-09, DE</w:t>
      </w:r>
    </w:p>
    <w:p>
      <w:r>
        <w:rPr>
          <w:b/>
        </w:rPr>
        <w:t xml:space="preserve">Quelle: </w:t>
      </w:r>
      <w:r>
        <w:t>https://mcp.opencaselaw.ch/entscheid/bvger_A-5410_2022</w:t>
      </w:r>
    </w:p>
    <w:p>
      <w:r>
        <w:t>FR: TAF A-5410/2022 du 9 octobre 2024</w:t>
      </w:r>
    </w:p>
    <w:p>
      <w:r>
        <w:t>IT: TAF A-5410/2022 del 9 ottobre 2024</w:t>
      </w:r>
    </w:p>
    <w:p>
      <w:pPr>
        <w:pStyle w:val="Heading2"/>
      </w:pPr>
      <w:r>
        <w:t>Regeste</w:t>
      </w:r>
    </w:p>
    <w:p>
      <w:r>
        <w:t>Enteignung</w:t>
      </w:r>
    </w:p>
    <w:p>
      <w:pPr>
        <w:pStyle w:val="Heading2"/>
      </w:pPr>
      <w:r>
        <w:t>Erwägungen</w:t>
      </w:r>
    </w:p>
    <w:p>
      <w:r>
        <w:rPr>
          <w:b/>
        </w:rPr>
        <w:t>E. 1</w:t>
      </w:r>
    </w:p>
    <w:p>
      <w:r>
        <w:t>Aus prozessökonomischen Gründen können einzelne, rechtlich oder sachlich zusammenhängende Verfahren vereinigt werden (statt vieler Urteil des BVGer A-615/2023 vom 10. Juli 2024 E. 1.1). In den Verfahren A-5410/2022, A-5415/2022, A-5416/2022, A-5417/2022 und A-5418/2022 stehen die Sachverhalte in einem inhaltlichen Zusammenhang und es stellen sich identische Rechtsfragen. Es rechtfertigt sich, die Verfahren unter der erstgenannten Verfahrensnummer zu vereinigen.</w:t>
      </w:r>
    </w:p>
    <w:p>
      <w:r>
        <w:rPr>
          <w:b/>
        </w:rPr>
        <w:t>E. 2.1</w:t>
      </w:r>
    </w:p>
    <w:p>
      <w:r>
        <w:t>Die angefochtenen Gebührenverfügungen sind Verfügungen nach Art. 5 des Verwaltungsverfahrensgesetzes vom 20. Dezember 1968 (VwVG, SR 172.021), die von einer Vorinstanz im Sinne von Art. 33 Bst. f des Verwaltungsgerichtsgesetzes vom 17. Juni 2005 (VGG, SR 173.32) erlassen wurden. Da keine Ausnahme nach Art. 32 VGG vorliegt, ist das Bundesverwaltungsgericht zur Beurteilung der Beschwerden zuständig (vgl. Art. 31 VGG). Das Verfahren richtet sich nach dem VwVG, soweit das VGG nichts anderes bestimmt (Art. 37 VGG).</w:t>
      </w:r>
    </w:p>
    <w:p>
      <w:r>
        <w:rPr>
          <w:b/>
        </w:rPr>
        <w:t>E. 2.2</w:t>
      </w:r>
    </w:p>
    <w:p>
      <w:r>
        <w:t>Die Beschwerdeführerin hat an den vorinstanzlichen Verfahren teilgenommen, ist als Adressatin der Gebührenverfügungen durch diese besonders berührt und hat ein schutzwürdiges Interesse an deren Aufhebung oder Änderung. Sie ist damit zur Beschwerde legitimiert (Art. 48 Abs. 1 VwVG).</w:t>
      </w:r>
    </w:p>
    <w:p>
      <w:r>
        <w:rPr>
          <w:b/>
        </w:rPr>
        <w:t>E. 2.3</w:t>
      </w:r>
    </w:p>
    <w:p>
      <w:r>
        <w:t>Zu prüfen ist, ob die von der Beschwerdeführerin in den Schlussbemerkungen vom 6. Juni 2023 ergänzten Anträge (vgl. zum Ganzen Sachverhalt I hiervor) vom Streitgegenstand erfasst sind.</w:t>
      </w:r>
    </w:p>
    <w:p>
      <w:r>
        <w:rPr>
          <w:b/>
        </w:rPr>
        <w:t>E. 2.3.1</w:t>
      </w:r>
    </w:p>
    <w:p>
      <w:r>
        <w:t>Nach Art. 52 Abs. 1 VwVG muss die Beschwerde unter anderem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2.3.2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2.3.3</w:t>
      </w:r>
    </w:p>
    <w:p>
      <w:r>
        <w:t>Die begehrte Reduktion der Gebührenverfügungen auf maximal 25% des bisherigen Betrags (Ziff. 1a des ergänzten Rechtsbegehrens) führt zu keiner Erweiterung der in der Beschwerdeschrift gestellten Hauptanträge auf Aufhebung der Gebührenverfügungen und Reduktion der Kosten der erstinstanzlichen Verfahren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2.3.4</w:t>
      </w:r>
    </w:p>
    <w:p>
      <w:r>
        <w:t>In Bezug auf das ergänzte Rechtsbegehren, wonach die Kosten für das vorinstanzliche Verfahrens teilweise auf die Staatskasse zu nehmen seien (vgl. Ziff. 1b) beziehungsweise es sei der Beschwerdegegnerin unabhängig vom Verfahrensausgang keine Parteientschädigung auszurichten (Ziff. 4), ist Folgendes festzuhalten: Der Beschwerde lässt sich nicht entnehmen, dass die Beschwerdeführerin die Frage der Kostentragung gemäss Ziff. 4 der - hier nicht angefochtenen - Abschreibungsverfügungen vom 21. Oktober 2022 bestritten oder dieses Rechtsverhältnis angefochten hat. Strittig ist vielmehr die Höhe der in Rechnung gestellten Verfahrenskosten. Die in den Schlussbemerkungen formulierten Anträge auf eine abweichende Regelung der Kostentragung gehen daher über den mit Beschwerde festgelegten Streitgegenstand hinaus. Damit gelten sie als neu und sind grundsätzlich unzulässig. Darauf ist nicht einzutreten. Im Übrigen hätte keine Verletzung von Bundesrecht vorgelegen, selbst wenn auf das ergänzte Rechtsbegehren ausnahmsweise einzutreten gewesen wäre. Dies gilt insbesondere für das Verfahren A-5410/2022. Hier lässt sich den Ausführungen der Beschwerdeführerin nicht entnehmen, welche Arbeiten beziehungsweise Aufwendungen der Vorinstanz nicht im Zusammenhang mit dem vorinstanzlichen Enteignungsverfahren stehen sollten und entsprechend von der Staatskasse zu übernehmen wären, zumal die Vorinstanz im vorinstanzlichen Verfahren keine unpräjudizielle Einschätzung ausgearbeitet und der Beschwerdegegnerin zugestellt hat. Mit Blick auf die übrigen vier Verfahren kann sodann Folgendes festgehalten werden: Mit Schreiben vom 15. Juni 2022 hat der Vizepräsident der Beschwerdegegnerin eine einstweilige und unpräjudizielle Einschätzung der Rechtslage in Form einer Stellungnahme zukommen lassen. Dadurch konnte die Beschwerdegegnerin den Standpunkt der Vorinstanz erfahren und diesen beim Entscheid über den Rückzug ihrer Entschädigungsforderung berücksichtigen. Die Abgabe der Stellungnahme gehört zur richterlichen Tätigkeit und hatte vorliegend die beförderliche Erledigung des Verfahrens zum Ziel. Sie erfolgte somit zweckmässig und erwies sich im Nachhinein auch als zielführend. Insofern ist es - entgegen der Auffassung der Beschwerdeführerin - nicht zu beanstanden, dass das fragliche Schreiben auf Anfrage der Rechtsvertretung der Beschwerdegegnerin hin erarbeitet wurde. Aus diesen Gründen standen die Kosten für die Redaktion der unpräjudiziellen Einschätzung in Zusammenhang mit der Geltendmachung des Enteignungsrechts beziehungsweise mit dem konkreten Enteignungsverfahren. Sie sind daher nach Art. 114 Abs. 1 EntG ebenfalls der Beschwerdeführerin aufzuerlegen und nicht von der Staatskasse zu übernehmen. Im Übrigen ist festzuhalten, dass das Vorgehen der Vorinstanz auch im Interesse der Beschwerdeführerin lag. Wie Vorinstanz und Beschwerdegegnerin zutreffend ausführen, erscheint es zumindest als plausibel, dass die unpräjudizielle Einschätzung eine wesentliche Rolle bei der Entscheidung über den Rückzug der Entschädigungsgesuche gespielt hat. Infolge Rückzugs erübrigte sich dann insbesondere die Durchführung einer Einigungsverhandlung beziehungsweise des Schätzungsverfahrens und das vorinstanzliche Verfahren konnte zügig und für die Beschwerdeführerin kostengünstiger erledigt werden.</w:t>
      </w:r>
    </w:p>
    <w:p>
      <w:r>
        <w:rPr>
          <w:b/>
        </w:rPr>
        <w:t>E. 2.4</w:t>
      </w:r>
    </w:p>
    <w:p>
      <w:r>
        <w:t>Im Übrigen sind die Beschwerdefrist (Art. 50 Abs. 1 VwVG) sowie die Anforderungen an die Form und den Inhalt der Beschwerde (Art. 52 Abs. 1 VwVG) gewahrt. Auf die die Beschwerden ist - unter Vorbehalt des in E. 2.3.4 Ausgeführten - einzutreten.</w:t>
      </w:r>
    </w:p>
    <w:p>
      <w:r>
        <w:rPr>
          <w:b/>
        </w:rPr>
        <w:t>E. 3</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4.1</w:t>
      </w:r>
    </w:p>
    <w:p>
      <w:r>
        <w:t>Die Beschwerdeführerin bringt vor, die Vorinstanz habe ihre Gebührenverfügungen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die fünf vorinstanzlichen Verfahren (6.75 Stunden für das erste Verfahren betreffend die Liegenschaft Kat. Nr. 7818 bzw. 6.25 Stunden für die übrigen vier Verfahren) das Mass des üblicherweise erwartbaren und vertretbaren Aufwands übersteige. Der Aufwand stehe in einem offensichtlichen Missverhältnis zum Wert der Leistung. Zur Begründung führt sie insbesondere aus, die Vorinstanz habe mit Schreiben vom 15. Juni 2022 eine umfangreiche Stellungnahme gegenüber der Rechtsvertretung der Beschwerdegegnerin abgegeben und sich damit im Sinne einer unpräjudiziellen Einschätzung über die Erfolgsaussichten der von der Beschwerdegegnerin gestellten Entschädigungsbegehren geäussert. Diese Stellungnahme sei jedoch mit Blick auf die rechtliche und tatsächliche Einfachheit der Enteignungsfälle nicht notwendig gewesen und habe auch für die Beschwerdegegnerin keinen Mehrwert, wohl aber einen (vermeintlich verrechenbaren) Mehraufwand bei der Vorinstanz geschaffen. Dies gelte umso mehr in Anbetracht der zwischen der Beschwerdeführerin und der Beschwerdegegnerin schriftlich abgeschlossenen Vereinbarung betreffend die Erledigung der Enteignungsverfahren. Durch die Ausarbeitung fünf separater Gebührenverfügungen (anstatt einer Sammelverfügung) bei klarerweise vergleichbaren Fällen habe Vorinstanz einen höheren Stundenaufwand generieren wollen, was ebenfalls dem Äquivalenzprinzip widerspreche. Vielmehr hätten die aus der zeitnahen Bearbeitung mehrerer gleichartiger Entschädigungsgesuche resultierenden Skaleneffekte berücksichtigt werden müssen, was zu einer merklichen Reduktion des Gesamtaufwands geführt hätte.</w:t>
      </w:r>
    </w:p>
    <w:p>
      <w:r>
        <w:rPr>
          <w:b/>
        </w:rPr>
        <w:t>E. 4.2</w:t>
      </w:r>
    </w:p>
    <w:p>
      <w:r>
        <w:t>Dagegen wendet die Vorinstanz ein, sie habe ihre Kostenverfügungen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 Vorinstanz hält weiter fest, im vorinstanzlichen Enteignungsverfahren betreffend Liegenschaft Kat. Nr. 7818 sei - im Gegensatz zu den vier anderen vergleichbaren Enteignungsverfahren - keine unpräjudizielle Einschätzung der Rechtslage abgegeben worden. Bei den übrigen vier Enteignungsverfahren sei es der Vorinstanz nicht verwehrt gewesen, zwecks beförderlicher Erledigung der Verfahren eine unpräjudizielle Einschätzung für die anwaltlich vertretene Partei abzugeben, insbesondere wenn es sich dabei um eine Gemeinde handelt. Im Übrigen sei das Verfassen fünf individueller Abschreibungs- und Gebührenverfügungen aus Gründen der besseren Verständlichkeit und ohne nennenswerten Mehraufwand erfolgt. Was die Skaleneffekte angehe, habe der Vizepräsident die für mehrere Verfahren angefallenen Aufwandpositionen auf das jeweilige Verfahren gleichmässig aufgeteilt, weshalb der Gesamtaufwand in den Parallelverfahren annährend gleich gross sei.</w:t>
      </w:r>
    </w:p>
    <w:p>
      <w:r>
        <w:rPr>
          <w:b/>
        </w:rPr>
        <w:t>E. 4.3</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4.4</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den Gebührenverfügungen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4.3 hiervor). Wenn allerdings - wie hier - der in Rechnung gestellte Gesamtaufwand für die Erledigung von fünf Entschädigungsgesuchen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der vorliegenden Abschreibungsentscheide über das Übliche und Erwartbare hinausgingen.</w:t>
      </w:r>
    </w:p>
    <w:p>
      <w:r>
        <w:rPr>
          <w:b/>
        </w:rPr>
        <w:t>E. 4.5</w:t>
      </w:r>
    </w:p>
    <w:p>
      <w:r>
        <w:t>Nach dem Ausgeführten ist eine Überprüfung, ob der in Rechnung gestellte Gesamtstundenaufwand für die Erledigung der vorinstanzlichen Verfahren vor dem Äquivalenzprinzip standhält, nicht möglich. In Gutheissung der Beschwerden sind die angefochtenen Gebührenverfügungen aufzuheben und die Angelegenheit zur neuen Entscheidung an die Vorinstanz zurückzuweisen.</w:t>
      </w:r>
    </w:p>
    <w:p>
      <w:r>
        <w:rPr>
          <w:b/>
        </w:rPr>
        <w:t>E. 5</w:t>
      </w:r>
    </w:p>
    <w:p>
      <w:r>
        <w:t>Abschliessend ist über die Kosten- und Entschädigungsfolgen des Beschwerdeverfahrens zu befinden.</w:t>
      </w:r>
    </w:p>
    <w:p>
      <w:r>
        <w:rPr>
          <w:b/>
        </w:rPr>
        <w:t>E. 5.1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des BGer 1C_440/2012 vom 27. August 2013 E. 5; Urteil des BVGer A-514/2013 vom 15. Dezember 2014 E. 12.1; Urteil des BVGer A-504/2018 vom 28. Dezember 2018 E. 10.3).</w:t>
      </w:r>
    </w:p>
    <w:p>
      <w:r>
        <w:rPr>
          <w:b/>
        </w:rPr>
        <w:t>E. 5.2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5.3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5.1)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5.4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Gebührenverfügungen und Rückweisung der Sache an die Vorinstanz zu neuer Entscheidung. Damit gilt die Beschwerdeführerin als obsiegend. Ihr sind daher in Anwendung von Art. 63 Abs. 1 VwVG keine Verfahrenskosten aufzuerlegen. Der geleistete Kostenvorschuss von Fr. 1'400.-- ist ihr nach Eintritt der Rechtskraft des vorliegenden Urteils zurückzuerstatten. Die Vorinstanz hat als Bundesbehörde keine Verfahrenskosten zu tragen (Art. 63 Abs. 2 VwVG).</w:t>
      </w:r>
    </w:p>
    <w:p>
      <w:r>
        <w:rPr>
          <w:b/>
        </w:rPr>
        <w:t>E. 5.5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 Wie die Beschwerdegegnerin selber einräumt, ist sie nicht Adressatin der Gebührenverfügungen und insoweit weder unmittelbar noch mittelbar vom vorliegenden Beschwerdeverfahren betroffen. Die Beschwerdeantwort enthält denn auch keine materiell-rechtlichen Anträge und es ist nicht ersichtlich, dass der Beschwerdegegnerin verhältnismässig hohe Kosten entstanden sind. Angesichts dieser Verfahrenslage erweist sich der Beizug einer rechtskundigen Rechtsvertretung zur effektiven Rechtsverfolgung nicht als unerlässlich. Unter diesen Umständen ist der Beschwerdegegnerin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