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A-5381/2020 vom 12. November 2020</w:t>
      </w:r>
    </w:p>
    <w:p>
      <w:r>
        <w:t>Bundesverwaltungsgericht, 2020-11-12, FR</w:t>
      </w:r>
    </w:p>
    <w:p>
      <w:r>
        <w:rPr>
          <w:b/>
        </w:rPr>
        <w:t xml:space="preserve">Quelle: </w:t>
      </w:r>
      <w:r>
        <w:t>https://mcp.opencaselaw.ch/entscheid/bvger_A-5381_2020</w:t>
      </w:r>
    </w:p>
    <w:p>
      <w:r>
        <w:t>FR: TAF A-5381/2020 du 12 novembre 2020</w:t>
      </w:r>
    </w:p>
    <w:p>
      <w:r>
        <w:t>IT: TAF A-5381/2020 del 12 novembre 2020</w:t>
      </w:r>
    </w:p>
    <w:p>
      <w:pPr>
        <w:pStyle w:val="Heading2"/>
      </w:pPr>
      <w:r>
        <w:t>Regeste</w:t>
      </w:r>
    </w:p>
    <w:p>
      <w:r>
        <w:t>Assistance administrative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</w:t>
      </w:r>
    </w:p>
    <w:p>
      <w:r>
        <w:rPr>
          <w:b/>
        </w:rPr>
        <w:t>E. 2</w:t>
      </w:r>
    </w:p>
    <w:p>
      <w:r>
        <w:t>B._______,</w:t>
      </w:r>
    </w:p>
    <w:p>
      <w:r>
        <w:rPr>
          <w:b/>
        </w:rPr>
        <w:t>E. 3</w:t>
      </w:r>
    </w:p>
    <w:p>
      <w:r>
        <w:t>que les considérants qui précèdent conduisent le Tribunal à rejeter la demande d'interprétation, que les frais de procédure comprenant l'émolument d'arrêté, les émoluments de chancellerie et les débours sont mis, dans le dispositif, à la charge de la partie qui succombe (art. 63 al. 1, 1re phrase de la loi fédérale du 20 décembre 1968 sur la procédure administrative [PA, RS 172.021]), qu'en l'espèce, les frais de procédure se montent, compte tenu de la charge de travail liée à la procédure, à CHF 500.- (cf. l'art. 63 al. 1 PA et art. 4 du règlement du 21 février 2008 concernant les frais, dépens et indemnités fixés par le TAF [FITAF, RS 173.320.2]), que vu l'issue de la cause, il n'est pas alloué de dépens (art. 64 al. 1 PA et art. 7 al. 1 FITAF a contrario), qu'au vu des deux recours pendants par-devant le TF, une copie du présent arrêt est communiquée à la Haute Cour à titre d'information. (Le dispositif de l'arrêt se trouve à la page suivante.)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