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A-5373/2018 vom 25. August 2021</w:t>
      </w:r>
    </w:p>
    <w:p>
      <w:r>
        <w:t>Bundesverwaltungsgericht, 2021-08-25, IT</w:t>
      </w:r>
    </w:p>
    <w:p>
      <w:r>
        <w:rPr>
          <w:b/>
        </w:rPr>
        <w:t xml:space="preserve">Quelle: </w:t>
      </w:r>
      <w:r>
        <w:t>https://mcp.opencaselaw.ch/entscheid/bvger_A-5373_2018</w:t>
      </w:r>
    </w:p>
    <w:p>
      <w:r>
        <w:t>FR: TAF A-5373/2018 du 25 août 2021</w:t>
      </w:r>
    </w:p>
    <w:p>
      <w:r>
        <w:t>IT: TAF A-5373/2018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A-5366/2018, altre cinque procedimenti ricorsuali (A-5370/2018, A-5373/2018, A-5374/2018, A-5375/2018 e A-5376/2018) aventi per oggetto altrettante decisioni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tanti giudizi quanti il numero dei ricorsi trasmessi, ritenuto che ciò faciliterebbe un'eventuale impugnativa all'autorità di ricorso come pure una più facile comprensione dei giudizi. 1.5.3 Ferme queste premesse, il Tribunale disgiunge i procedimenti ricorsuali (A-5366/2018, A-5370/2018, A-5373/2018 A-5374/2018 A-5375/2018 A-5376/2018), congiunti sotto il numero di ruolo A-5366/2018 con decisione incidentale del 26 settembre 2018.</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20 agosto 2018 dell'AFC, con cui quest'ultima ha accolto la domanda di assistenza amministrativa in materia fiscale, del 3 gennaio 2018,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3 gennaio 2018 dell'Autorità Tributaria spagnola adempie ai requisiti formali posti dalla legge, e sopra rammentati, di modo che non occorre chinarsi ulteriormente su tali aspetti. Del resto il ricorrente stessa non ha sollevato alcuna perplessità in merito.</w:t>
      </w:r>
    </w:p>
    <w:p>
      <w:r>
        <w:rPr>
          <w:b/>
        </w:rPr>
        <w:t>E. 5</w:t>
      </w:r>
    </w:p>
    <w:p>
      <w:r>
        <w:t>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w:t>
      </w:r>
    </w:p>
    <w:p>
      <w:r>
        <w:rPr>
          <w:b/>
        </w:rPr>
        <w:t>E. 5.3.3</w:t>
      </w:r>
    </w:p>
    <w:p>
      <w:r>
        <w:t>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DTF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abbia domicilio in Spagna poiché ivi sarebbe il centro dei propri interessi vitali (cfr. art. 4 cpv. 2 lett. a CDI CH-ES), non sarebbe supportato da alcun elemento concreto ma unicamente dalla considerazione che in questo Paese, durante il periodo di riferimento (1.1.2013 al 31.12.2016), si sarebbero tenute annualmente quattro gare motociclistiche del campionato del mondo, a cui egli ha partecipato come pilota professionista ("Since four races of the World Championship have taken place in Spain, our tax auditors consider that the centre of Mr A._______'s vital interests is in Spain, and, therefore, he is regarded as tax resident in Spain"). Postulare informazioni sulla base di tale considerazione sarebbe inoltre contrario al principio della buona fede, in particolare l'autorità richiedente elvetica avrebbe dovuto "esigere delle precisazioni relative ai criteri ritenuti" in punto al domicilio fiscale in Spagna. Peraltro l'insorgente ha rilevato che le richieste di diversi documenti e informazioni, che non lo coinvolgono direttamente, configurano una violazione al principio del divieto di ricerca indiscriminata di prove ("fishing expedition"). In proposito l'AFC ha precisato, nella sua riposta al ricorso, che la domanda formulata rispetta il tenore dell'art. 25bis CDI CH-ES "in quanto l'autorità richiedente domanda delle informazioni per determinare l'assoggettamento illimitato e limitato del ricorrente in Spagna e, conseguentemente, per accertare la base imponibile". In particolare per ritenere che la domanda di assistenza amministrativa non sia arbitraria sarebbe "sufficiente che lo stato richiedente menzioni degli elementi che possano determinare un assoggettamento limitato o illimitato di una persona in tale Stato".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vi sarebbero molteplici argomenti oltre alle quattro gare del campionato mondiale per affermare che la Spagna sia il centro degli interessi vitali del ricorrente. A dire dell'AFC "l'autorità richiedente ha sufficientemente sostanziato l[a] domand[a] del [...] 3 gennaio 2018 mostrando [...] la rilevanza verosimile delle informazioni richieste". Tant'è che il rapporto trasmesso posteriormente (28 giugno - 2 luglio 2019), non sarebbe necessario per l'esame delle domande, bensì rappresenterebbe solamente una conferma di ciò che si può rilevare da un esame globale delle stesse. Tuttavia nella denegata ipotesi che le domande menzionate dovessero essere respinte poiché carenti di sufficienti elementi per considerare adempiuto il requisito della rilevanza verosimile delle informazioni richieste, l'AFC ha sostenuto che, in ragione del principio di economia processuale, il TAF dovrebbe considerare le informazioni giunte con il rapporto del 28 giugno - 2 luglio 2019, quali informazioni supplementari più dettagliate, tali da essere considerate quali una domanda di assistenza amministrativa complementare.</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7.3.1</w:t>
      </w:r>
    </w:p>
    <w:p>
      <w:r>
        <w:t>In concreto, la conclusione a cui giunge l'autorità richiedente poggia essenzialmente sulla partecipazione del ricorrente alle 4 "gare" di gran prix, tenutesi in Spagna, durante ogni anno solare oggetto di approfondimento. A mente del Tribunale occorre però anche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meta privilegiata per gli allenamenti su circuito, anche per quei Gran Premi che non avvengono nel Paese iberico. Inoltre i Gran Premi "spagnoli", sono ripartiti in modo equilibrato durante tutto l'anno solare e non concentrati in pochi mesi. Infine, a dire dello Stato richiedente, sarebbe lo stesso interessato ad avere ammesso la percezione di un guadagno in Spagna ("according to the information provided, Mr A._______ has admitted to have obtained income in Spain"). Tutto ciò considerato, seppur scarne, le considerazioni dell'autorità spagnola ricordate più sopra non raggiungono il grado sufficiente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w:t>
      </w:r>
    </w:p>
    <w:p>
      <w:r>
        <w:rPr>
          <w:b/>
        </w:rPr>
        <w:t>E. 7.3.2</w:t>
      </w:r>
    </w:p>
    <w:p>
      <w:r>
        <w:t>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nella domanda del 3 gennaio 2018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w:t>
      </w:r>
    </w:p>
    <w:p>
      <w:r>
        <w:rPr>
          <w:b/>
        </w:rPr>
        <w:t>E. 7.3.3</w:t>
      </w:r>
    </w:p>
    <w:p>
      <w:r>
        <w:t>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6).</w:t>
      </w:r>
    </w:p>
    <w:p>
      <w:r>
        <w:rPr>
          <w:b/>
        </w:rPr>
        <w:t>E. 7.4</w:t>
      </w:r>
    </w:p>
    <w:p>
      <w:r>
        <w:t>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nei periodi fiscali oggetto di esame. Allo stesso modo, anche le informazioni che l'AFC intende trasmettere, giusta il dispositivo finale impugnato, adempiono al requisito della rilevanza verosimile poiché parrebbero effettivamente permettere all'autorità richiedente di stabilire i redditi del ricorrente nei periodi fiscali oggetto di esame, ottenendo informazioni in punto ai conti bancari sopra citati presso il B._______ (cfr. anche il consid. 9 relativo alle informazioni di terzi).</w:t>
      </w:r>
    </w:p>
    <w:p>
      <w:r>
        <w:rPr>
          <w:b/>
        </w:rPr>
        <w:t>E. 8.1</w:t>
      </w:r>
    </w:p>
    <w:p>
      <w:r>
        <w:t>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precedente del 3.1.2018) le fonti interne per la raccolta di informazioni erano esaurite.</w:t>
      </w:r>
    </w:p>
    <w:p>
      <w:r>
        <w:rPr>
          <w:b/>
        </w:rPr>
        <w:t>E. 8.2</w:t>
      </w:r>
    </w:p>
    <w:p>
      <w:r>
        <w:t>Ora, è vero che dalla domanda spagnola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w:t>
      </w:r>
    </w:p>
    <w:p>
      <w:r>
        <w:rPr>
          <w:b/>
        </w:rPr>
        <w:t>E. 8.3</w:t>
      </w:r>
    </w:p>
    <w:p>
      <w:r>
        <w:t>Ne discende pertanto che le censure in punto ai principi testé menzionati di sussidiarietà e di buona fede cadono nel vuoto.</w:t>
      </w:r>
    </w:p>
    <w:p>
      <w:r>
        <w:rPr>
          <w:b/>
        </w:rPr>
        <w:t>E. 9.1</w:t>
      </w:r>
    </w:p>
    <w:p>
      <w:r>
        <w:t>Nella sua domanda di assistenza amministrative, l'autorità richiedente ha anche chiesto all'AFC segnatamente di identificare e comunicare eventuali identità di terzi "collegati" a conti bancari individuati presso il B._______. Al fine di rispondere a tali quesiti, il dispositivo della decisione impugnata (cfr. punto numero 2) contempla i nominativi di diversi terzi (raccolti presso B._______ e C._______), i quali, senza volere entrare nel dettaglio circa le informazioni che le riguardano non hanno avuto accesso agli atti e nemmeno sono state informate in ordine a tale aspetto, ad eccezione della società E._______ e del signor D.______, il quale però non ha mai dato seguito alla sollecitazione dell'autorità inferiore.</w:t>
      </w:r>
    </w:p>
    <w:p>
      <w:r>
        <w:rPr>
          <w:b/>
        </w:rPr>
        <w:t>E. 9.2</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9.3.1</w:t>
      </w:r>
    </w:p>
    <w:p>
      <w:r>
        <w:t>In casu con il punto dispositivo numero 2 della decisione impugnata, l'autorità inferiore informa lo stato richiedente in ordine al nominativo di terzi tra cui la E._______ e 7 persone fisiche, "collegati" in una qualche maniera ai conti bancari presso il B._______. Tali nominativi non sono dunque il frutto del caso ma figurano nell'incarto per i precisi motivi descritti. Ora a prescindere da coloro che sono stati informati, non si può contestare che tali informazioni non possano essere di alcuna utilità all'autorità richiedente per determinare con maggiore cognizione di causa il substrato fiscale del ricorrente per i periodi in discussione, in ragione segnatamente del loro ruolo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w:t>
      </w:r>
    </w:p>
    <w:p>
      <w:r>
        <w:rPr>
          <w:b/>
        </w:rPr>
        <w:t>E. 9.3.2</w:t>
      </w:r>
    </w:p>
    <w:p>
      <w:r>
        <w:t>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9.4</w:t>
      </w:r>
    </w:p>
    <w:p>
      <w:r>
        <w:t>A fronte di quanto sopra esposto, la trasmissione dei nominativi di terzi implicati così come richiesto dall'autorità richiedente, è esente da critiche.</w:t>
      </w:r>
    </w:p>
    <w:p>
      <w:r>
        <w:rPr>
          <w:b/>
        </w:rPr>
        <w:t>E. 9.5</w:t>
      </w:r>
    </w:p>
    <w:p>
      <w:r>
        <w:t>Con riferimento a tali nominativi di terzi, di cui al punto dispositivo 2, il Tribunale ricorda all'autorità inferiore come essi siano tutelati dal principio di specialità (cfr. consid. 5.6); ciò che impone all'AFC di informare l'autorità richiedente circa le restrizioni di utilizzo per gli stessi.</w:t>
      </w:r>
    </w:p>
    <w:p>
      <w:r>
        <w:rPr>
          <w:b/>
        </w:rPr>
        <w:t>E. 10</w:t>
      </w:r>
    </w:p>
    <w:p>
      <w:r>
        <w:t>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10'000 franchi da esso versato a suo tempo, riferito ai 6 procedimenti ricorsuali in essere. L'importo rimanente dovrà essere utilizzato, per quanto necessario, per coprire le spese di procedura dovute, nei procedimenti paralleli qui disgiunti (A-5366/2018, A-5370/2018, A-5374/2018, A-5375/2018 e A-5376/2018). Un eventuale rimanenza sarà resa al ricorrente alla crescita in giudicato delle sentenze pronunciate. Non vi sono poi i presupposti per l'assegnazione al ricorrente di indennità a titolo di spese ripetibili (cfr. 64 cpv. 1 PA a contrario, rispettivamente art. 7 cpv. 1 TS-TAF a contrario).</w:t>
      </w:r>
    </w:p>
    <w:p>
      <w:r>
        <w:rPr>
          <w:b/>
        </w:rPr>
        <w:t>E. 11</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