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A-5357/2019 vom 7. Mai 2021</w:t>
      </w:r>
    </w:p>
    <w:p>
      <w:r>
        <w:t>Bundesverwaltungsgericht, 2021-05-07, FR</w:t>
      </w:r>
    </w:p>
    <w:p>
      <w:r>
        <w:rPr>
          <w:b/>
        </w:rPr>
        <w:t xml:space="preserve">Quelle: </w:t>
      </w:r>
      <w:r>
        <w:t>https://mcp.opencaselaw.ch/entscheid/bvger_A-5357_2019</w:t>
      </w:r>
    </w:p>
    <w:p>
      <w:r>
        <w:t>FR: TAF A-5357/2019 du 7 mai 2021</w:t>
      </w:r>
    </w:p>
    <w:p>
      <w:r>
        <w:t>IT: TAF A-5357/2019 del 7 maggio 2021</w:t>
      </w:r>
    </w:p>
    <w:p>
      <w:pPr>
        <w:pStyle w:val="Heading2"/>
      </w:pPr>
      <w:r>
        <w:t>Regeste</w:t>
      </w:r>
    </w:p>
    <w:p>
      <w:r>
        <w:t>Personnel fédéral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conséquence, le recours, mal fondé, est rejeté.</w:t>
      </w:r>
    </w:p>
    <w:p>
      <w:r>
        <w:rPr>
          <w:b/>
        </w:rPr>
        <w:t>E. 8.1</w:t>
      </w:r>
    </w:p>
    <w:p>
      <w:r>
        <w:t>Conformément à l'art. 34 al. 2 LPers, la procédure de recours en matière de litiges liés aux rapports de travail est gratuite, de sorte qu'il n'est pas perçu de frais de procédure.</w:t>
      </w:r>
    </w:p>
    <w:p>
      <w:r>
        <w:rPr>
          <w:b/>
        </w:rPr>
        <w:t>E. 8.2</w:t>
      </w:r>
    </w:p>
    <w:p>
      <w:r>
        <w:t>Le Tribunal peut allouer d'office ou sur requête à la partie ayant entièrement ou partiellement gain de cause une indemnité pour les frais indispensables et relativement élevés qui lui ont été occasionnés (art. 64 al. 1 PA, art. 7 ss règlement du 21 février 2008 concernant les frais, dépens et indemnités fixés par le Tribunal administratif fédéral [FITAF, RS 173.320.2]). Les autorités fédérales et, en règle générale, les autres autorités parties n'ont pas droit aux dépens (art. 7 al. 3 FITAF). Aucune indemnité à titre de dépens ne sera allouée en l'espèce. (dispositif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