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A-5327/2019 vom 10. März 2020</w:t>
      </w:r>
    </w:p>
    <w:p>
      <w:r>
        <w:t>Bundesverwaltungsgericht, 2020-03-10, DE</w:t>
      </w:r>
    </w:p>
    <w:p>
      <w:r>
        <w:rPr>
          <w:b/>
        </w:rPr>
        <w:t xml:space="preserve">Quelle: </w:t>
      </w:r>
      <w:r>
        <w:t>https://mcp.opencaselaw.ch/entscheid/bvger_A-5327_2019</w:t>
      </w:r>
    </w:p>
    <w:p>
      <w:r>
        <w:t>FR: TAF A-5327/2019 du 10 mars 2020</w:t>
      </w:r>
    </w:p>
    <w:p>
      <w:r>
        <w:t>IT: TAF A-5327/2019 del 10 marzo 2020</w:t>
      </w:r>
    </w:p>
    <w:p>
      <w:pPr>
        <w:pStyle w:val="Heading2"/>
      </w:pPr>
      <w:r>
        <w:t>Regeste</w:t>
      </w:r>
    </w:p>
    <w:p>
      <w:r>
        <w:t>Kernenergie</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eine der in Art. 33 VGG aufgeführten Vorinstanzen verfügt hat und keine Ausnahme nach Art. 32 VGG vorliegt. Beim angefochtenen Entscheid handelt es sich um eine Verfügung im genannten Sinn, welche von einer Vorinstanz gemäss Art. 33 Bst. d VGG erlassen wurde. Eine Ausnahme nach Art. 32 VGG liegt nicht vor, weshalb das Bundesverwaltungsgericht zur Beurteilung der vorliegenden Beschwerden zuständig ist. Das Verfahren richtet sich nach dem VwVG, soweit das VGG nichts anderes bestimmt (Art. 37 VGG).</w:t>
      </w:r>
    </w:p>
    <w:p>
      <w:r>
        <w:rPr>
          <w:b/>
        </w:rPr>
        <w:t>E. 1.2</w:t>
      </w:r>
    </w:p>
    <w:p>
      <w:r>
        <w:t>Zur Beschwerde ans Bundesverwaltungsgericht ist nach Art. 48 Abs. 1 VwVG berechtigt, wer vor der Vorinstanz am Verfahren teilgenommen hat oder keine Möglichkeit zur Teilnahme erhalten hat (Bst. a), durch die angefochtene Verfügung besonders berührt ist (Bst. b) und ein schutzwürdiges Interesse an deren Aufhebung oder Änderung hat (Bst. c). Die Beschwerdeführenden haben sich als Einsprechende am vorinstanzlichen Verfahren beteiligt. Als Adressaten der Verfügung sind sie von ihr berührt und haben ein schutzwürdiges Interesse an deren Aufhebung, damit ihr Begehren von der Vorinstanz materiell geprüft wird. Sie sind somit zur Beschwerde berechtigt.</w:t>
      </w:r>
    </w:p>
    <w:p>
      <w:r>
        <w:rPr>
          <w:b/>
        </w:rPr>
        <w:t>E. 1.3</w:t>
      </w:r>
    </w:p>
    <w:p>
      <w:r>
        <w:t>Auf die im Übrigen frist- und formgerecht eingereichten Beschwerden (vgl. Art. 50 Abs. 1 und Art. 52 Abs. 1 VwVG) ist somit einzutreten.</w:t>
      </w:r>
    </w:p>
    <w:p>
      <w:r>
        <w:rPr>
          <w:b/>
        </w:rPr>
        <w:t>E. 2</w:t>
      </w:r>
    </w:p>
    <w:p>
      <w:r>
        <w:t>Das Bundesverwaltungsgericht überprüft die angefochtene Verfügung auf Rechtsverletzungen einschliesslich unrichtiger oder unvollständiger Feststellung des rechtserheblichen Sachverhalts und Rechtsfehler bei der Ausübung des Ermessens sowie auf Angemessenheit hin (Art. 49 VwVG). Allerdings auferlegt es sich namentlich dann eine gewisse Zurückhaltung, wenn die zu überprüfende Verfügung die Beurteilung von Fachfragen durch die sachkundige Vorinstanz voraussetzt und deren Entscheid mit Berichten bzw. Stellungnahmen von Fachbehörden übereinstimmt. In solchen Fällen weicht es nicht ohne Not bzw. zwingenden Grund von der Auffassung der Vorinstanz ab (vgl. BGE 142 II 451 E. 4.5.1 mit Hinweisen, bestätigt mit Urteil des BGer 2C_645/2018 vom 28. September 2018 E. 3.5; statt vieler: Urteil des BVGer A-1088/2018 vom 16. Oktober 2019 E. 4). Das Bundesverwaltungsgericht wendet das Recht von Amtes wegen an und ist an die Begründung der Begehren der Parteien nicht gebunden (Art. 62 Abs. 4 VwVG).</w:t>
      </w:r>
    </w:p>
    <w:p>
      <w:r>
        <w:rPr>
          <w:b/>
        </w:rPr>
        <w:t>E. 3</w:t>
      </w:r>
    </w:p>
    <w:p>
      <w:r>
        <w:t>Vorliegend ist einzig zu prüfen, ob die Vorinstanz zu Recht auf die Einsprachen der Beschwerdeführenden gegen das Sondiergesuch der Beschwerdegegnerin vom 26. September 2016 nicht eingetreten ist.</w:t>
      </w:r>
    </w:p>
    <w:p>
      <w:r>
        <w:rPr>
          <w:b/>
        </w:rPr>
        <w:t>E. 3.1</w:t>
      </w:r>
    </w:p>
    <w:p>
      <w:r>
        <w:t>Gemäss Art. 35 Abs. 1 des Kernenergiegesetzes vom 21. März 2003 (KEG, SR 732.1) bedürfen erdwissenschaftliche Untersuchungen in möglichen Standortregionen, die dazu dienen, Kenntnisse im Hinblick auf ein geologisches Tiefenlager zu verschaffen, einer Bewilligung der Vorinstanz. Das Bewilligungsverfahren richtet sich nach dem KEG und subsidiär nach dem VwVG und dem Bundesgesetz vom 20. Juni 1930 über die Enteignung (EntG, SR 711; vgl. Art. 49 Abs. 1 KEG). Das Bewilligungsgesuch ist in den amtlichen Publikationsorganen der betroffenen Kantone und Gemeinden sowie im Bundesblatt zu publizieren und während 30 Tagen öffentlich aufzulegen (Art. 53 Abs. 2 KEG). Wer nach den Vorschriften des VwVG oder des EntG Partei ist, kann während der Auflagefrist beim Bundesamt Einsprache erheben. Wer keine Einsprache erhebt, ist vom weiteren Verfahren ausgeschlossen (Art. 55 Abs. 1 KEG). Ist eine Person nicht berechtigt, eine Einsprache einzureichen, fehlt es an einer Sachurteilsvor-aussetzung, weshalb auf ihre Einsprache nicht eingetreten werden kann.</w:t>
      </w:r>
    </w:p>
    <w:p>
      <w:r>
        <w:rPr>
          <w:b/>
        </w:rPr>
        <w:t>E. 3.2</w:t>
      </w:r>
    </w:p>
    <w:p>
      <w:r>
        <w:t>Parteistellung und Beschwerdebefugnis sind nach der Systematik des VwVG aufeinander abgestimmt: Als Parteien im Sinne von Art. 6 VwVG gelten Personen, deren Rechte oder Pflichten die Verfügung berühren soll, und andere Personen, Organisationen oder Behörden, denen ein Rechtsmittel gegen die Verfügung zusteht. Ausgehend von diesem Parteibegriff und unter Berücksichtigung von Art. 48 Abs. 1 VwVG beurteilt sich die Frage der Parteistellung nach denselben Grundsätzen wie diejenige nach der Beschwerdelegitimation (vgl. Vera Marantelli/Said Huber, in: Waldmann/Weissenberger [Hrsg.], Praxiskommentar Verwaltungsverfahrensgesetz, 2. Aufl. 2016 [nachfolgend: Praxiskommentar VwVG], Art. 48 N 4).</w:t>
      </w:r>
    </w:p>
    <w:p>
      <w:r>
        <w:rPr>
          <w:b/>
        </w:rPr>
        <w:t>E. 3.3</w:t>
      </w:r>
    </w:p>
    <w:p>
      <w:r>
        <w:t>Die Einsprache- bzw. Beschwerdebefugnis beschränkt sich nicht auf den materiellen Verfügungsadressaten. Zur Einsprache oder Beschwerde können vielmehr auch Dritte berechtigt sein. Dazu müssen sie stärker als jedermann betroffen sein und in einer besonders engen Beziehung zur Streitsache stehen (vgl. Art. 48 Abs. 1 lit. b VwVG). Ein schutzwürdiges Interesse (vgl. Art. 48 Abs. 1 lit. c VwVG) liegt dann vor, wenn die tatsächliche oder rechtliche Situation des Einsprechers oder Beschwerdeführers durch den Ausgang des Verfahrens unmittelbar beeinflusst werden kann, d.h. wenn er durch das Einsprache- bzw. Beschwerdeverfahren einen materiellen oder ideellen Nachteil von sich abwenden oder aus diesem einen praktischen Nutzen zu ziehen vermag. Diese Anforderungen sollen die im schweizerischen Recht grundsätzlich nicht vorgesehene Popularbeschwerde ausschliessen (BGE 140 II 214 E. 2.1; BVGE 2007/1 E. 3.4 mit Hinweisen; Urteil des BVGer A-1088/2018 vom 16. Oktober 2019 E. 2.1, mit Hinweisen; Marantelli/Huber, in: Praxiskommentar VwVG, Art. 48 N 10 ff.).</w:t>
      </w:r>
    </w:p>
    <w:p>
      <w:r>
        <w:rPr>
          <w:b/>
        </w:rPr>
        <w:t>E. 3.4</w:t>
      </w:r>
    </w:p>
    <w:p>
      <w:r>
        <w:t>Hinsichtlich der Voraussetzung der besonderen Betroffenheit muss bei Bauprojekten nach der Rechtsprechung des Bundesgerichts die Nähe der Beziehung zum Streitgegenstand insbesondere in räumlicher Hinsicht (Faustregel: ca. 100 m) gegeben sein. Die örtliche Distanz zwischen dem Bauvorhaben und der Liegenschaft der beschwerdeführenden Partei stellt zwar ein gewichtiges, jedoch nicht das einzige Kriterium für die Beurteilung der Legitimation dar. Weiter ist eine besondere Betroffenheit zu bejahen, wenn vom Bau oder Betrieb der projektierten Anlage mit Sicherheit oder grosser Wahrscheinlichkeit Immissionen - seien es Lärm-, Staub-, Erschütterungs-, Licht- oder andere Einwirkungen - ausgehen, die auf dem Grundstück des Beschwerdeführers aufgrund ihrer Art und Intensität deutlich wahrnehmbar sind. Bei weiträumigen Einwirkungen kann deshalb ein grosser Kreis von Personen zur Beschwerdeführung legitimiert sein, etwa beim Betrieb eines Flughafens oder einer Schiessanlage (BGE 140 II 214 E. 2.3, BGE 136 II 281 E. 2.3.1). Schliesslich kann sich das besondere Berührtsein von Nachbarn auch aus der Erschliessung bzw. der Verkehrszunahme eines geplanten Vorhabens oder aus besonderen Gefahren, die mit dem Betrieb der Anlage verbunden sind, ergeben. Die genannten Kriterien (räumliche Beziehungsnähe, Immissionen, Erschliessungssituation und Gefahrenpotential) können auch in ihrem Zusammenspiel eine hinreichende Beziehungsnähe begründen. So liegt gemäss Bundesgericht selbst dann eine besondere Betroffenheit bei einem Nachbarn vor, wenn die einzelnen Kriterien isoliert betrachtet nicht erfüllt sind, sich jedoch aus dem Zusammenwirken von mehreren Kriterien eine hinreichende Beziehungsnähe ergibt (vgl. René Wiederkehr/Stefan Eggenschwiler, Die allgemeine Beschwerdebefugnis Dritter, 2018, Rz. 25 f., mit Hinweisen).</w:t>
      </w:r>
    </w:p>
    <w:p>
      <w:r>
        <w:rPr>
          <w:b/>
        </w:rPr>
        <w:t>E. 4</w:t>
      </w:r>
    </w:p>
    <w:p>
      <w:r>
        <w:t>Im Folgenden gilt es unter Berücksichtigung der erwähnten Kriterien zu prüfen, ob die Beschwerdeführenden vom Sondiergesuch Remigen 1 stärker als jedermann betroffen sind und in einer besonders engen Beziehung zur Streitsache stehen.</w:t>
      </w:r>
    </w:p>
    <w:p>
      <w:r>
        <w:rPr>
          <w:b/>
        </w:rPr>
        <w:t>E. 4.1.1</w:t>
      </w:r>
    </w:p>
    <w:p>
      <w:r>
        <w:t>Die pauschale schalltechnische Untersuchung vom 30. Mai 2017 zu den geplanten Sondierbohrungen Remigen 1 kommt zum Ergebnis, dass bis zu einer Entfernung von rund einem Kilometer vom Bohrplatz mit einem Schallpegel von ca. 40 dB(A) zu rechnen ist (vgl. Akten Vorinstanz, act. 24). Gestützt darauf hat die Vorinstanz unter Hinweis auf eine Studie der Eidgenössischen Technischen Hochschule Zürich von 2011, wonach ab einem Schallpegel von 40 dB(A) bei schlafenden Personen mit vermehrten Aufwachreaktionen zu rechnen ist, allen Einsprechenden, die innerhalb eines Radius von einem Kilometer um die Bohranlage wohnen, die Einsprachelegitimation zuerkannt.</w:t>
      </w:r>
    </w:p>
    <w:p>
      <w:r>
        <w:rPr>
          <w:b/>
        </w:rPr>
        <w:t>E. 4.1.2</w:t>
      </w:r>
    </w:p>
    <w:p>
      <w:r>
        <w:t>Das Bundesverwaltungsgericht sieht vorliegend keinen Grund, von der Auffassung der Vorinstanz in Bezug auf das Kriterium der örtlichen Distanz abzuweichen (vgl. dazu E. 2). Aufgrund der Entfernung der sich im Miteigentum befindenden Liegenschaft der Beschwerdeführenden an der (...) in 5236 Remigen von ca. 1,6 km zum Bohrplatz Remigen 1 liegt keine besondere Betroffenheit der Beschwerdeführenden vor, die sie zu einer Einsprache berechtigen würde. Im Übrigen legen die Beschwerdeführenden auch nicht konkret dar, inwiefern sie trotz der grossen Distanz zum Bohrplatz infolge der geplanten Anlage von möglichen Lärmimmissionen besonders betroffen wären.</w:t>
      </w:r>
    </w:p>
    <w:p>
      <w:r>
        <w:rPr>
          <w:b/>
        </w:rPr>
        <w:t>E. 4.2.1</w:t>
      </w:r>
    </w:p>
    <w:p>
      <w:r>
        <w:t>Die Betroffenheit von Anwohnern kann nach der Rechtsprechung des Bundesgerichts auch aus Immissionen herrühren, die vom Zubringerverkehr eines Bauvorhabens ausgehen, wenn diese Immissionen für den Nachbarn deutlich wahrnehmbar sind (BGE 136 II 281 E. 2.3.1). Die Schwelle wird bei einer Erhöhung des Beurteilungspegels von 1 dB(A) festgesetzt, was einer Steigerung des DTV von rund 25% entspricht. Das Bundesgericht beurteilt die Legitimation jedoch nicht nur anhand von quantitativen (Erhöhung des Lärmpegels), sondern auch anhand von qualitativen Kriterien (Art des Verkehrsgeräusches). Ändern sich Art und Qualität des Verkehrsgeräusches - z.B. durch die Zunahme des Lastwagenverkehrs -, kann die besondere Betroffenheit auch bei einer geringeren Zunahme des DTV vorliegen. Ferner ist die Distanz des Wohnortes der beschwerdeführenden Person zur Zufahrts- oder Erschliessungsstrasse in Betracht zu ziehen (Wiederkehr/Eggenschwiler, a.a.O., Rz.32 ff.).</w:t>
      </w:r>
    </w:p>
    <w:p>
      <w:r>
        <w:rPr>
          <w:b/>
        </w:rPr>
        <w:t>E. 4.2.2</w:t>
      </w:r>
    </w:p>
    <w:p>
      <w:r>
        <w:t>Die Beschwerdegegnerin rechnet mit einem durchschnittlichen LKW-Aufkommen von ca. 50 Fahrten in der Woche (d.h. durchschnittlich 7-8 Fahrten pro Tag), was der Vorinstanz aufgrund vergleichbarer Bohrprojekte nachvollziehbar und angemessen erscheint. Die Verkehrserschliessung für LKW sowie für den übrigen Baustellenverkehr erfolgt ab der Autobahnausfahrt/-einfahrt Nr. 19 (Brugg/Windisch) über folgende Kantonsstrassen: Hauserstrasse, Zürcherstrasse, Zurzacherstrasse, Villigerstrasse und Mönthalerstrasse. Anschliessend führt die direkte Zu- und Wegfahrt zum Bohrplatz via Landwirtschaftsweg (Mühlemattstrasse; vgl. Fig. 5.6 des Sondiergesuchs Remigen 1). Gestützt auf die Angaben des Aargauischen Geographischen Informationssystems (AGIS) betreffend den DTV bedeutet dies für die Ortsdurchfahrt Remigen, dass der Verkehr für die Anwohner der Villigerstrasse aufgrund der Sondierbohrungen um 0,2%, für die Anwohner der Mönthalerstrasse um 0,5% zunehmen würde. Aufgrund dieser Einschätzung wird eine Steigerung des DTV um 25% bei weitem nicht erreicht.</w:t>
      </w:r>
    </w:p>
    <w:p>
      <w:r>
        <w:rPr>
          <w:b/>
        </w:rPr>
        <w:t>E. 4.2.3</w:t>
      </w:r>
    </w:p>
    <w:p>
      <w:r>
        <w:t>Für das Bundesverwaltungsgericht besteht vorliegend kein Anlass, an der Auffassung der Vorinstanz zu zweifeln (vgl. E. 2). Eine Legitimation zur Einsprache aufgrund von Immissionen, die vom Zubringerverkehr ausgehen, ist für die Beschwerdeführenden sowohl in quantitativer als auch qualitativer Hinsicht auszuschliessen, zumal sich die Liegenschaft der Beschwerdeführenden in einem hinreichenden Abstand zur vom Zubringerverkehr betroffenen Villiger- bzw. Mönthalerstrasse befindet. Im Übrigen haben die Beschwerdeführenden ihre in der Einsprache vorgebrachten Rügen zur Verkehrslärmzunahme in ihren vorliegenden Beschwerden nicht mehr vorgebracht.</w:t>
      </w:r>
    </w:p>
    <w:p>
      <w:r>
        <w:rPr>
          <w:b/>
        </w:rPr>
        <w:t>E. 4.3.1</w:t>
      </w:r>
    </w:p>
    <w:p>
      <w:r>
        <w:t>Die Beschwerdeführenden leiten ihre Einsprache- und Beschwerdeberechtigung insbesondere aus den Bohrungen unter Tag ab, welche zu Erschütterungen führen würden. Ausserdem werde unter anderem auch mit Wasserdruck gearbeitet. Hinzu komme, dass die Bohrpfade noch nicht festgelegt seien. Es sei wahrscheinlich, dass sie auch in Richtung Dorfkern verlaufen würden und bis zu 2 Kilometer lang sein könnten. Durch diese Wahrscheinlichkeit seien sie direkt betroffen. Die Sondierbohrungen könnten "bis quasi unter ihren Keller" verlaufen. Bei dieser Ausgangslage sei es daher mit dem Sinn und Zweck der gesetzlichen Grundlagen zur Beschwerdebefugnis nicht vereinbar, die Legitimation einzig mit einem bestimmten Radius um die Bohrplatzanlage über Tag und einzig unter Hinweis auf die Lärmimmission zu begründen.</w:t>
      </w:r>
    </w:p>
    <w:p>
      <w:r>
        <w:rPr>
          <w:b/>
        </w:rPr>
        <w:t>E. 4.3.2</w:t>
      </w:r>
    </w:p>
    <w:p>
      <w:r>
        <w:t>Die legitimationsbegründende Betroffenheit der Nachbarn kann wie bereits erwähnt auch bei Anlagen entstehen, die einen besonderen Gefahrenherd mit erhöhten Risiken für die Anwohner schaffen. Für die Beurteilung der Legitimation ist diesfalls vom Gefahrenpotential und damit vom Risiko auszugehen, welches theoretisch mit einer solchen Anlage verbunden ist. Legitimationsgrund ist damit die Risikoexposition der Anwohner gegenüber einem besonderen Gefahrenherd. Jedermann, der innerhalb eines Bereichs lebt, in dem dieses Gefahrenpotential als besonders hoch einzuschätzen ist, ist besonders betroffen und hat ein schutzwürdiges Interesse daran, dass gemäss der Eigenart und Grösse der Gefahr angemessene und geeignete Schutzmassnahmen ergriffen werden (Wiederkehr/Eggenschwiler, a.a.O., Rz.53).</w:t>
      </w:r>
    </w:p>
    <w:p>
      <w:r>
        <w:rPr>
          <w:b/>
        </w:rPr>
        <w:t>E. 4.3.3</w:t>
      </w:r>
    </w:p>
    <w:p>
      <w:r>
        <w:t>Das BAFU vertritt in seiner Stellungnahme vom 18. Juli 2017 zum Sondiergesuch Remigen 1 die Auffassung, dass durch das Projekt aufgrund der Distanz nicht mit wahrnehmbaren Erschütterungen und abgestrahltem Körperschall zu rechnen sei (vgl. Akten Vorinstanz, act. 3, Ziff. 3.9). Im Weiteren hält das ENSI in seinem Gutachten zum Sondiergesuch Remigen 1 vom September 2017 fest, dass es die Wahrscheinlichkeit für spürbare induzierte Seismizität an der Erdoberfläche aufgrund der geplanten Bohr- und Testarbeiten in den Sondierbohrungen und unter Berücksichtigung der Tatsache, dass es sich um relativ untiefe Bohrungen in den mesozoischen Deckschichten handle, als gering einschätze. Bei Bohrungen könne aus seiner Sicht jedoch nie vollständig ausgeschlossen werden, dass kleinere Gasvorkommen angetroffen würden. Eine technische Gegenmassnahme bei Gaszutritt sehe das Einpumpen von beschwerter Bohrspülung vor. Aufgrund der zur Diskussion stehenden Spülmengen seien jedoch Erschütterungen mit einer Magnitude grösser als 2.0 unwahrscheinlich. Bei Erdbeben mit einer Magnitude kleiner 2.0 seien keine erheblichen Beeinträchtigungen des Wohlbefindens in der Nachbarschaft oder Sachschäden zu erwarten (vgl. Akten Vorinstanz, act. 14, Ziff. 5.3).</w:t>
      </w:r>
    </w:p>
    <w:p>
      <w:r>
        <w:rPr>
          <w:b/>
        </w:rPr>
        <w:t>E. 4.3.4</w:t>
      </w:r>
    </w:p>
    <w:p>
      <w:r>
        <w:t>Die erwähnten Stellungnahmen zu den zu erwartenden Erschütterungen haben Fachbehörden ausgearbeitet. Darin kommen sie zum Schluss, dass bei den Sondierbohrungen nicht mit wahrnehmbaren Erschütterungen zu rechnen ist. Für das Bundesverwaltungsgericht besteht unter diesen Umständen kein Anlass, an der Richtigkeit dieser Schlussfolgerungen zu zweifeln (vgl. E. 2). Entsprechend ist das Gefahrenpotential aufgrund der Bohrungen unter Tag - auch bei möglichen Schrägbohrungen in Richtung Dorfkern - als nicht besonders hoch einzuschätzen, weshalb auch aus diesem Grund keine besondere Betroffenheit der Beschwerdeführenden vorliegt.</w:t>
      </w:r>
    </w:p>
    <w:p>
      <w:r>
        <w:rPr>
          <w:b/>
        </w:rPr>
        <w:t>E. 4.4</w:t>
      </w:r>
    </w:p>
    <w:p>
      <w:r>
        <w:t>Schliesslich ist auch aus dem Zusammenspiel der einzelnen Kriterien (vgl. E. 3.4) keine hinreichende Betroffenheit der Beschwerdeführenden ersichtlich, die sie zur Einsprache berechtigen würde.</w:t>
      </w:r>
    </w:p>
    <w:p>
      <w:r>
        <w:rPr>
          <w:b/>
        </w:rPr>
        <w:t>E. 5</w:t>
      </w:r>
    </w:p>
    <w:p>
      <w:r>
        <w:t>Zusammenfassend ist festzuhalten, dass die Beschwerdeführenden durch das Sondiergesuch Remigen 1 nicht besonders berührt und demzufolge nicht berechtigt waren, dagegen Einsprache zu erheben. Die Vorinstanz ist somit zu Recht nicht auf die Einsprachen der Beschwerdeführenden eingetreten. Die dagegen erhobenen Beschwerden erweisen sich demnach als unbegründet, weshalb sie abzuweisen sind.</w:t>
      </w:r>
    </w:p>
    <w:p>
      <w:r>
        <w:rPr>
          <w:b/>
        </w:rPr>
        <w:t>E. 6</w:t>
      </w:r>
    </w:p>
    <w:p>
      <w:r>
        <w:t>Mit dem vorliegenden Endentscheid wird die Beurteilung des Gesuchs der Beschwerdegegnerin um Entzug der aufschiebenden Wirkung gegenstandslos.</w:t>
      </w:r>
    </w:p>
    <w:p>
      <w:r>
        <w:rPr>
          <w:b/>
        </w:rPr>
        <w:t>E. 7</w:t>
      </w:r>
    </w:p>
    <w:p>
      <w:r>
        <w:t>Es bleibt über die Kosten- und Entschädigungsfolgen des Beschwerdeverfahrens zu befinden. In diesem Zusammenhang bringen die Beschwerdeführenden vor, es seien ihnen keine Verfahrenskosten aufzuerlegen und es seien keine Parteientschädigungen zuzusprechen.</w:t>
      </w:r>
    </w:p>
    <w:p>
      <w:r>
        <w:rPr>
          <w:b/>
        </w:rPr>
        <w:t>E. 7.1</w:t>
      </w:r>
    </w:p>
    <w:p>
      <w:r>
        <w:t>Die Verfahrenskosten sind in der Regel von der unterliegenden Partei zu tragen (Art. 63 Abs. 1 VwVG). Gemäss Art. 6 des Reglements vom 21. Februar 2008 über die Kosten und Entschädigungen vor dem Bundesverwaltungsgericht (VGKE, SR 173.320.2) können einer Partei die Verfahrenskosten erlassen werden, wenn ein Rechtsmittel ohne erheblichen Aufwand für das Gericht durch Rückzug oder Vergleich erledigt wird (Bst. a) oder andere Gründe in der Sache oder in der Person der Partei es als unverhältnismässig erscheinen lassen, sie ihr aufzuerlegen (Bst. b). Das Vorliegen eines solchen Grundes ist weder ersichtlich noch wird von den Beschwerdeführenden konkret vorgebracht, inwiefern ein solcher vorliegen sollte. Die Verfahrenskosten werden somit auf Fr. 1'000.- festgesetzt (Art. 1 ff. VGKE) und sind dem Verfahrensausgang entsprechend den unterliegenden Beschwerdeführenden aufzuerlegen. Sie sind dem von der Beschwerdeführerin 1 im Verfahren A-5327/2019 und dem Beschwerdeführer 2 im Verfahren A-5346/2019 geleisteten Kostenvorschuss in der Höhe von je Fr. 750.- zu entnehmen. Der Restbetrag von je Fr. 250.- ist ihnen nach Eintritt der Rechtskraft des vorliegenden Urteils zurückzuerstatten.</w:t>
      </w:r>
    </w:p>
    <w:p>
      <w:r>
        <w:rPr>
          <w:b/>
        </w:rPr>
        <w:t>E. 7.2</w:t>
      </w:r>
    </w:p>
    <w:p>
      <w:r>
        <w:t>Der obsiegenden Beschwerdegegnerin ist eine Parteientschädigung zuzusprechen (Art. 64 Abs. 1 VwVG und Art. 7 Abs. 1 VGKE), die mangels Einreichung einer Honorarnote von Amtes wegen zu bestimmen (Art. 14 Abs. 2 VGKE) und angesichts des mutmasslich notwendigen und angemessenen Zeitaufwandes der Rechtsvertreter der Beschwerdegegnerin auf Fr. 2'000.- (inkl. Auslagen) festzusetzen ist (Art. 7 ff. VGKE). Sie ist den unterliegenden Beschwerdeführenden zur Bezahlung aufzuerlegen (Art. 64 Abs. 2 und 3 VwVG). Die Vorinstanz hat von vornherein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