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A-5324/2009 vom 27. Juli 2010</w:t>
      </w:r>
    </w:p>
    <w:p>
      <w:r>
        <w:t>Bundesverwaltungsgericht, 2010-07-27, DE</w:t>
      </w:r>
    </w:p>
    <w:p>
      <w:r>
        <w:rPr>
          <w:b/>
        </w:rPr>
        <w:t xml:space="preserve">Quelle: </w:t>
      </w:r>
      <w:r>
        <w:t>https://mcp.opencaselaw.ch/entscheid/bvger_A-5324_2009</w:t>
      </w:r>
    </w:p>
    <w:p>
      <w:r>
        <w:t>FR: TAF A-5324/2009 du 27 juillet 2010</w:t>
      </w:r>
    </w:p>
    <w:p>
      <w:r>
        <w:t>IT: TAF A-5324/2009 del 27 luglio 2010</w:t>
      </w:r>
    </w:p>
    <w:p>
      <w:pPr>
        <w:pStyle w:val="Heading2"/>
      </w:pPr>
      <w:r>
        <w:t>Regeste</w:t>
      </w:r>
    </w:p>
    <w:p>
      <w:r>
        <w:t>Seilbahnen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Bst. d VGG und ist daher eine Vorinstanz des Bundesverwaltungsgerichts. Eine Ausnahme, was das Sachgebiet angeht, ist nicht gegeben (Art. 32 VGG). Demnach ist das Bundesverwaltungsgericht zur Beurteilung der vorliegenden Beschwerde zuständig.</w:t>
      </w:r>
    </w:p>
    <w:p>
      <w:r>
        <w:rPr>
          <w:b/>
        </w:rPr>
        <w:t>E. 2</w:t>
      </w:r>
    </w:p>
    <w:p>
      <w:r>
        <w:t>Zur Beschwerde ist berechtigt, wer vor der Vorinstanz am Verfahren teilgenommen oder keine Möglichkeit dazu erhalten hat, durch die angefochtene Verfügung besonders berührt ist und ein schutzwürdiges Interesse an deren Aufhebung oder Änderung hat (Art. 48 Abs. 1 VwVG). Die Beschwerdeführerin ist durch die angefochtene Verfügung belastet und demnach zur vorliegenden Beschwerde legitimiert.</w:t>
      </w:r>
    </w:p>
    <w:p>
      <w:r>
        <w:rPr>
          <w:b/>
        </w:rPr>
        <w:t>E. 3</w:t>
      </w:r>
    </w:p>
    <w:p>
      <w:r>
        <w:t>Die Beschwerdeführerin macht geltend, beim geplanten Bau handle es sich lediglich um eine Änderung einer bestehenden ortsfesten Anlage, und nicht, wie die Vorinstanz annehme, um einen Neubau. Die wesentlichen Bestandteile der Bahn blieben unverändert und die modernisierte Anlage erzeuge keine wahrnehmbaren stärkeren Lärmimmissionen. Diese würden nach Möglichkeit sogar reduziert. Das freiwillige Versetzen der Masten Nr. 1 und 2 lasse nicht darauf schliessen, dass es sich um einen Neubau der Anlage handle.</w:t>
      </w:r>
    </w:p>
    <w:p>
      <w:r>
        <w:rPr>
          <w:b/>
        </w:rPr>
        <w:t>E. 3.1</w:t>
      </w:r>
    </w:p>
    <w:p>
      <w:r>
        <w:t>Ausgangspunkt des Beschwerdeverfahrens ist die angefochtene Verfügung (Art. 5 und 44 VwVG i.V.m. Art. 31 VGG). Das Anfechtungsobjekt bildet den Rahmen, welcher den möglichen Umfang des Streitgegenstandes begrenzt (vgl. BGE 133 II 38 E. 2). Gegenstand des Beschwerdeverfahrens kann nur sein, was Gegenstand des erstinstanzlichen Verfahrens war oder nach richtiger Gesetzesauslegung hätte sein sollen (ANDRÉ MOSER/MICHAEL BEUSCH/LORENZ KNEUBÜHLER, Prozessieren vor dem Bundesverwaltungsgericht, Basel 2008, S. 25 Rz. 2.7). Streitgegenstand ist in der nachträglichen Verwaltungsrechtspflege demzufolge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Die Rechtsmittelinstanz darf die Verfügung in der Regel nur so weit überprüfen, als sie angefochten ist. In der Verwaltungsverfügung festgelegte, aber aufgrund der Beschwerdebegehren nicht mehr streitige Fragen prüft das Gericht nur, wenn die nicht beanstandeten Punkte in einem engen Sachzusammenhang mit dem Streitgegenstand stehen (MOSER/BEUSCH/KNEUBÜHLER, a.a.O., S. 26 Rz. 2.8).</w:t>
      </w:r>
    </w:p>
    <w:p>
      <w:r>
        <w:rPr>
          <w:b/>
        </w:rPr>
        <w:t>E. 3.2</w:t>
      </w:r>
    </w:p>
    <w:p>
      <w:r>
        <w:t>Mit Verfügung vom 9. April 2009 hat die Vorinstanz die Plangenehmigung mit Auflagen für den Bau der 8er-Kabinenbahn Wangs-Maienberg-Furt erteilt. Darin hat sie auf Seite 17 explizit festgehalten, "dass die vorliegende Anlage demnach im Sinne der Lärmschutzverordnung als neue ortsfeste Anlage gemäss Art. 7 LSV" gelte. Diese Verfügung wurde von der Beschwerdeführerin innert Frist nicht angefochten, weshalb sie in Rechtskraft erwachsen ist. Die Frage, ob es sich bei der 8-er-Kabinenbahn um eine neue Anlage oder um eine Änderung einer bestehenden ortsfesten Anlage handelt, ist demnach rechtskräftig entschieden worden und kann im Beschwerdeverfahren betreffend die Projektänderung vor dem Bundesverwaltungsgericht nicht mehr zum Streitgegenstand gehören. Inhalt der Verfügung vom 22. Juni 2009 waren lediglich noch die Verschiebung der Talstation und der Stützenstandorte 1 und 2 sowie die beantragten Lärmerleichterungen gemäss USG.</w:t>
      </w:r>
    </w:p>
    <w:p>
      <w:r>
        <w:rPr>
          <w:b/>
        </w:rPr>
        <w:t>E. 3.3</w:t>
      </w:r>
    </w:p>
    <w:p>
      <w:r>
        <w:t>Es kann dennoch festgehalten werden, dass die Vorinstanz den Bau der 8er-Kabinenbahn zu Recht als Neubau qualifiziert hat. Denn gemäss Betriebskonzept wird mit der neuen Seilbahn fast eine Verdoppelung der Fahrgeschwindigkeit (von 3,5 m/s auf 6,0 m/s) und der Förderleistung (von 720 P/h auf 1'200 P/h) erreicht. Änderungen, Umbauten oder Erweiterungen, welche die bisherigen Anlageteile an Bedeutung überwiegen, gelten als neubauähnliche Umgestaltung der Anlage, die der Errichtung einer neuen Anlage gleichgestellt ist (vgl. ROBERT WOLF in: Kommentar zum USG, Zürich, Basel, Genf 2004, Rz. 47 zu Art. 25 mit weiteren Hinweisen). Ein Wiederaufbau einer zuvor abgebrochenen Anlage ist in der Regel nicht als wesentliche Änderung, sondern als neubauähnliche Umgestaltung der Anlage zu werten (Robert Wolf, a.a.O., Rz. 48 zu Art. 25). In lärmschutzrechtlicher Hinsicht haben die Vorinstanz und das BAFU als Umweltschutzfachstelle des Bundes denn auch zu Recht festgehalten, dass die Ersatzanlage den gleichen Anforderungen wie eine Neuanlage zu genügen hat. Demnach müssen die Lärmemissionen so weit begrenzt werden, als dies technisch und betrieblich möglich sowie wirtschaftlich tragbar ist und dass die von der neuen 8er-Kabinenbahn erzeugten Lärmimmissionen die Planungswerte von vorliegend 60 dB(A) nicht überschreiten (vgl. Art. 7 LSV und Anhang 6 zur LSV.).</w:t>
      </w:r>
    </w:p>
    <w:p>
      <w:r>
        <w:rPr>
          <w:b/>
        </w:rPr>
        <w:t>E. 4</w:t>
      </w:r>
    </w:p>
    <w:p>
      <w:r>
        <w:t>Die Beschwerdeführerin beantragt im Rahmen ihrer Replik neu, eventualiter sei die Auflage dahingehend zu modifizieren, dass über die Notwendigkeit und den Umfang von Schallschutzmassnahmen erst nach Inbetriebnahme der Bahn und nach Vorliegen einer rechtskräftigen Baubewilligung der Eigentümerin des Hotels A. entschieden werde. Im Beschwerdeverfahren vor dem Bundesverwaltungsgericht sind sämtliche Begehren und Eventualbegehren in der Beschwerdeschrift vorzubringen sind. (Erst) in der Replik beantragte Varianten sind daher unzulässig und es ist nicht darauf einzutreten ((MOSER/BEUSCH/KNEUBÜHLER, a.a.O., S. 96 Rz. 2.215). Demnach hat die Beschwerdeführerin das modifizierte Begehren, die Beurteilung von Schallschutzmassnahmen auf den Zeitpunkt einer rechtskräftigen Baubewilligung des Hotels A. zu verschieben, verspätet vorgebracht und es wird darauf nicht eingetreten. Aber selbst wenn darauf eingetreten würde, würde das Begehren abgewiesen (vgl. E. 8. 2).</w:t>
      </w:r>
    </w:p>
    <w:p>
      <w:r>
        <w:rPr>
          <w:b/>
        </w:rPr>
        <w:t>E. 5</w:t>
      </w:r>
    </w:p>
    <w:p>
      <w:r>
        <w:t>Auf die frist- und formgerecht eingereichte Beschwerde ist im Übrigen einzutreten (Art. 50 und 52 VwVG).</w:t>
      </w:r>
    </w:p>
    <w:p>
      <w:r>
        <w:rPr>
          <w:b/>
        </w:rPr>
        <w:t>E. 6</w:t>
      </w:r>
    </w:p>
    <w:p>
      <w:r>
        <w:t>Die Beschwerdeführerin macht geltend, die Vorinstanz gehe zu Unrecht davon aus, dass die IGW bei der geplanten Ersatzanlage nicht eingehalten würden. Voraussichtliche Werte könnten nur geschätzt, nicht mit Sicherheit vorausgesagt werden, umso mehr als weitere bauliche, immissionsbeschränkende Massnahmen geplant seien. Die Vorinstanz verfüge deshalb ohne Begründung schon heute, dass Schallschutzfenster auf Kosten der Beschwerdeführerin installiert werden müssten.</w:t>
      </w:r>
    </w:p>
    <w:p>
      <w:r>
        <w:rPr>
          <w:b/>
        </w:rPr>
        <w:t>E. 7</w:t>
      </w:r>
    </w:p>
    <w:p>
      <w:r>
        <w:t>Das Bundesverwaltungsgericht überprüft die angefochtene Verfügung auch auf eine allfällig unrichtige oder unvollständige Feststellung des Sachverhalts hin (Art. 49 Bst. b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(Alfred Kölz/Isabelle Häner, Verwaltungsverfahren und Verwaltungsrechtspflege des Bundes, 2. Aufl., Zürich 1998, Rz. 290; Urteil des Bundesverwaltungsgerichts [BVGer] A-3092/2009 vom 18. Januar 2010 E. 5). Dementsprechend weicht das Bundesverwaltungsgericht nicht ohne Not von der Auffassung der Vorinstanz ab, wenn diese ihren Entscheid auf einen Amtsbericht in der Funktion des Gutachtens gestützt hat (Kölz/Häner, a.a.O., Rz. 282).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BVGer A-3092/2009 vom 18. Januar 2010 E. 5). Ebenso wenig darf das Gericht bei Fachfragen ohne triftige Gründe von Sachverständigengutachten abweichen, da die Experten über besondere Fachkenntnisse verfügen, die der entscheidenden Behörde abgehen. Von einer Expertise kann etwa dann abgewichen werden, wenn diese als widersprüchlich, nicht nachvollziehbar oder sonst nicht schlüssig erscheint oder andere Indizien gegen ihre Zuverlässigkeit bestehen (MOSER/BEUSCH/KNEUBÜHLER, a.a.O., S. 165 Rz. 3.145).</w:t>
      </w:r>
    </w:p>
    <w:p>
      <w:r>
        <w:rPr>
          <w:b/>
        </w:rPr>
        <w:t>E. 7.1</w:t>
      </w:r>
    </w:p>
    <w:p>
      <w:r>
        <w:t>In diesem Zusammenhang ist insbesondere auf die Lärmgutachten der ERR Raumplaner FSU SIA vom 20. August 2008 und vom 3. Mai 2009 - eines im ordentlichen Plangenehmigungsverfahren, eines im Projektänderungsverfahren erstellt - sowie die Stellungnahme des BAFU als Umweltschutzfachstelle des Bundes vom 26. März 2009 dazu hinzuweisen. Die Vorinstanz hat sich im vorliegenden Verfahren auf das zweite Gutachten vom 3. Mai 2009 abgestützt. Nach diesem Gutachten ist von einem Beurteilungspegel Lr von 66 dB(A) ± 2 dB(A) auszugehen. Im Gegensatz zum ersten Gutachten mit einem Beurteilungspegel von 65 dB(A) ist beim zweiten der IGW überschritten, weshalb Erleichterungen nicht nach Art. 7 LSV, sondern nach Art. 25 Abs. 3 USG geprüft wurden. Demnach sollen auf Kosten des Eigentümers der Anlage die vom Lärm betroffenen Gebäude durch Schallschutzfenster oder ähnliche bauliche Massnahmen geschützt werden.</w:t>
      </w:r>
    </w:p>
    <w:p>
      <w:r>
        <w:rPr>
          <w:b/>
        </w:rPr>
        <w:t>E. 7.2</w:t>
      </w:r>
    </w:p>
    <w:p>
      <w:r>
        <w:t>Die Vorinstanz begründet in ihrem Entscheid schlüssig und einsichtig, weshalb sie sich auf das zweite Lärmgutachten gestützt hat und sich eine zusätzliche Überprüfung mittels eines weiteren Lärmgutachtens erübrige. So beurteilt der ergänzende Bericht zur Umweltverträglichkeit der ERR Raumplaner FUS SIA vom 20. August 2008 - welcher für die Beschwerdeführerin günstiger ausfällt - die Situation vor der Projektänderung hinsichtlich der Verschiebung der Talstation und der Stützen Nr. 1 und 2. Erst das zweite Gutachten der ERR Raumplaner FUS SIA vom 3. Mai 2009 stützt sich auf die geänderte Ausgangslage und beruht auf den aktuellen Plänen. Für das Bundesverwaltungsgericht besteht kein Grund, von der Auffassung der Vorinstanz abzuweichen. Auch wenn der Beschwerdeführerin darin zuzustimmen ist, dass voraussichtliche Werte nicht mit Sicherheit vorausgesagt werden können, ist in Würdigung des zweiten Lärmgutachtens davon auszugehen, dass weder der Planungswert von 60 dB(A) noch der Immissionsgrenzwert von 65 dB(A) im vorliegenden Fall eingehalten werden können. Ferner müssen die zu erwartenden Immissionen schon im Baubewilligungsverfahren ermittelt werden. Es widerspricht dem Grundsatz der Vorsorge nach Art. 1 Abs. 2 und Art. 25 USG, die Abklärungen über die Einwirkungen der Anlage und den Erlass von Massnahmen zur Begrenzung der Lärmemissionen auf einen Zeitpunkt nach der Erstellung bzw. der Inbetriebnahme der Anlage zu verschieben (vgl. Urteil des Bundesgerichts 1A.58/2002 vom 2. September 2002 E. 2.2 ff.). Die Vorinstanz führt weiter zu Recht aus, dass an eine (notwendige) vorweggenommene Würdigung der Lärmsituation keine hohen Anforderungen an die Wahrscheinlichkeit einer Überschreitung der Planungswerte gestellt werden dürfen (vgl. hierzu Urteil des Bundesgerichts 1A.58/2002 vom 2. September 2002 E. 2.4). Die Ermittlung der vorliegend massgebenden Lärmwerte ist demnach nicht zu beanstanden.</w:t>
      </w:r>
    </w:p>
    <w:p>
      <w:r>
        <w:rPr>
          <w:b/>
        </w:rPr>
        <w:t>E. 8</w:t>
      </w:r>
    </w:p>
    <w:p>
      <w:r>
        <w:t>Die Beschwerdeführerin bestreitet weiter, dass das Hotel gegenwärtig teilweise sanft renoviert werde. Soweit bauliche Massnahmen erfolgen würden, würden diese lediglich dem notwendigen Unterhalt dienen. Im heutigen Zustand könne das Hotel nicht als ein Hotel der Kategorie "Garni" betrieben werden. Die Voraussetzungen zur Pflicht, Fenster einzubauen, seien deshalb im Hinblick auf das ungewisse Schicksal des Hotels vorliegend nicht erfüllt. Die Beigeladene führt in ihrer Stellungnahme vom 19. März 2010 aus, das Hotel werde nach der sanften Renovation in einigen Monaten wieder in Betrieb genommen. Demnach könne mit dem Einbau der Schallschutzfenster nicht zugewartet werden.</w:t>
      </w:r>
    </w:p>
    <w:p>
      <w:r>
        <w:rPr>
          <w:b/>
        </w:rPr>
        <w:t>E. 8.1</w:t>
      </w:r>
    </w:p>
    <w:p>
      <w:r>
        <w:t>Gemäss Art. 10 Abs. 3 Bst. c LSV müssen Lärmschutzmassnahmen nicht getroffen werden, wenn das Gebäude voraussichtlich innerhalb von drei Jahren nach Inbetriebnahme der neuen oder geänderten Anlage abgebrochen wird oder die betroffenen Räume innerhalb dieser Frist einer lärmunempfindlichen Nutzung zugeführt werden.</w:t>
      </w:r>
    </w:p>
    <w:p>
      <w:r>
        <w:rPr>
          <w:b/>
        </w:rPr>
        <w:t>E. 8.2</w:t>
      </w:r>
    </w:p>
    <w:p>
      <w:r>
        <w:t>Beide Voraussetzungen gemäss Art. 10 Abs. 3 Bst. c LSV sind vorliegend nicht erfüllt. Weder wird voraussichtlich das Gebäude abgebrochen noch werden die Räume einer lärmunempfindlichen Nutzung zugeführt. Vielmehr hat die Beigeladene ihren Willen bekundet, das Hotel weiterhin als Hotel zu nutzen. Das Bundesverwaltungsgericht hat keinen Grund, die Angaben der Beigeladenen in Zweifel zu ziehen. Dieser Wille der Beigeladenen wird ausserdem durch einen Schriftenwechsel zwischen der C. AG als Vertreterin der Beigeladenen und der Gemeinde Vilters-Wangs betreffend das künftige Betriebskonzept des Hotels belegt. Daraus ist ersichtlich, dass die C. AG die Gemeinde darüber informiert, dass das Gebäude teilweise saniert und renoviert werde - unter anderem mittels Einbau einer neuen Heizanlage - und in einigen Monaten mit den ersten Gästen zu rechnen sei. Es sei vorgesehen, das Hotel als "Hotel Garni" bei einer Bettenzahl von ca. 20 zu führen. Die Gemeinde wiederum teilte der C. AG mit Schreiben vom 7. Januar 2010 mit, für dieses Konzept sei keine Betriebsbewilligung nötig. Es ist deshalb davon auszugehen, dass das Hotel in absehbarer Zeit wiedereröffnet wird. Die Frage, wann das Hotel tatsächlich wieder eröffnet wird, muss zurzeit nicht weiter geprüft werden, weil die Voraussetzungen von Art. 10 Abs. 3 Bst. c LSV vorliegend nicht erfüllt sind. Die Beschwerdeführerin ist demnach unter Berücksichtigung der hiervor gemachten Ausführungen verpflichtet, die von der Vorinstanz bezeichneten Schallschutzfenster einzubauen. Es besteht damit auch kein Anlass, diese Pflicht zu einem späteren Zeitpunkt zu prüfen (vgl. Stellungnahme des BAFU sowie E. 4 zum neu gestellten Begehen der Beschwerdeführerin).</w:t>
      </w:r>
    </w:p>
    <w:p>
      <w:r>
        <w:rPr>
          <w:b/>
        </w:rPr>
        <w:t>E. 9</w:t>
      </w:r>
    </w:p>
    <w:p>
      <w:r>
        <w:t>Die Beschwerdeführerin führt zudem aus, die Vorinstanz habe es unterlassen, die vom Bundesgericht im Zusammenhang mit Minderwertentschädigungen formulierten Grundsätze in die Erwägungen miteinzubeziehen. Sei es für den Grundeigentümer beim Erwerb eines Grundstücks bereits absehbar, dass dieses lärmbelastet sei oder sein werde, stehe ihm gemäss der bundesgerichtlichen Rechtsprechung kein Entschädigungsanspruch wegen Lärm zu. Diese Grundsätze müssten auch bei der Anwendung der Bestimmungen der Lärmschutzverordnung beachtet werden, und zwar spätestens dann, wenn es um die Prüfung der Verhältnismässigkeit einer angeordneten Auflage gehe. Weiter sei im Dienstbarkeitsvertrag vom 29. Juni 1953 eine Einmalentschädigung festgehalten worden. Es könne nicht angehen, dass die Vorinstanz vor Inbetriebnahme und ohne Augenschein hier eine faktische Minderwertentschädigung vorwegnehme und damit in die Privatautonomie der Vertragsparteien eingreife. Das zweistufige Konzept des Immissionsschutzes gemäss USG setzt bei der Begrenzung der Emissionen durch Massnahmen bei der Quelle an (Art. 11 Abs. 1 USG). In einer ersten Stufe sind Emissionen im Rahmen der Vorsorge unabhängig von der bestehenden Umweltbelastung so weit zu begrenzen, als dies technisch und betrieblich möglich und wirtschaftlich tragbar ist (Art. 11 Abs. 2 USG). Diese Pflicht gilt grundsätzlich kumulativ zur Einhaltung der massgeblichen Belastungsgrenzwerte, d.h. Schutzmassnahmen sind nicht erst zu ergreifen, wenn die Umweltbelastung schädlich oder lästig wird, sondern das Vorsorgeprinzip verlangt, dass unnötige Emissionen vermieden werden (BEATRICE WAGNER PFEIFER, Umweltrecht I, 3. Auflage, Zürich, Basel, Genf 2009, Rz. 379). Diese erste Massnahmen-Stufe garantiert des öftern die Verwirklichung des vorgegebenen Ziels - d.h. den Schutz vor übermässigen Immissionen - nicht. Darum regelt Art. 11 Abs. 3 USG eine zweite Massnahmen-Stufe zur Emissionsbegrenzung an der Quelle. Das Bundesgericht hat auf das Zweistufenkonzept in zahlreichen Entscheiden hingewiesen und ausdrücklich festgestellt, es gelte auch hinsichtlich des Lärmschutzes (ANDRÉ SCHRADE / THEO LORETAN in: Kommentar zum USG, a.a.O., Rz. 3 zu Art. 11 mit Hinweis auf BGE 120 Ib 89 E. 4a und weitere). Der Umweltschutz muss demnach, wenn immer möglich, mit der Bekämpfung der Einwirkungen am Ort des Entstehens beginnen. Gegen Lärm sind somit in erster Linie Massnahmen zur Begrenzung der Emissionen zu treffen (vgl. hierzu auch: SCHRADE/LORETAN, a.a.O., Rz. 4 zu Art. 11). Davon zu trennen sind allfällige Entschädigungsforderungen für den aus übermässigem Lärm resultierenden Minderwert einer Liegenschaft. Das Enteignungsrecht beschlägt allein die Frage nach den finanziellen Folgen von (übermässigem) Lärm, nicht aber dessen Bekämpfung. Ob eine Entschädigung geschuldet ist oder nicht, lässt deshalb die Anforderungen an den Lärmschutz unberührt. Die Vorinstanz hat denn auch richtigerweise die Voraussetzungen des Lärmschutzes unabhängig von allfälligen entschädigungsrechtlichen Überlegungen geprüft.</w:t>
      </w:r>
    </w:p>
    <w:p>
      <w:r>
        <w:rPr>
          <w:b/>
        </w:rPr>
        <w:t>E. 10</w:t>
      </w:r>
    </w:p>
    <w:p>
      <w:r>
        <w:t>Die Beschwerdeführerin beantragt die Durchführung eines Augenscheins, um beurteilen zu können, dass sich der Betrieb des zukünftigen Hotels mit Wellnessbereich kaum an eine Klientel richten könne, welche vorwiegend an Wellness interessiert sei und das Hotel an den besagten Spitzentagen der Seilbahn wohl ausschliesslich von schneesportinteressierter Klientel frequentiert werde, welche zu den erwähnten Zeiten selbst Schneesport betreiben würden.</w:t>
      </w:r>
    </w:p>
    <w:p>
      <w:r>
        <w:rPr>
          <w:b/>
        </w:rPr>
        <w:t>E. 10.1</w:t>
      </w:r>
    </w:p>
    <w:p>
      <w:r>
        <w:t>Gemäss Art. 12 VwVG stellt die Behörde den Sachverhalt von Amtes wegen fest und bedient sich nötigenfalls verschiedener Beweismittel. Als mögliche Beweismittel erwähnt Art. 12 VwVG ausdrücklich Urkunden, Auskünfte der Parteien, Auskünfte oder Zeugnisse von Drittpersonen, Augenschein und Gutachten von Sachverständigen. Allerdings ist aus dem verfassungsmässigen Recht auf Beweis zu folgern, dass diese Aufzählung nicht abschliessend ist. Vielmehr kann ein Sachumstand grundsätzlich mit jedem denkbaren Beweismittel bewiesen werden (MOSER/BEUSCH/KNEUBÜHLER, a.a.O., S. 158 Rz. 3.124). Das Bundesverwaltungsgericht hat die von den Parteien angebotenen Beweismittel abzunehmen, wenn diese zur Abklärung des Sachverhalts tauglich erscheinen (Art. 33 Abs. 1 VwVG). Bei der Beurteilung dieser Frage kommt der entscheidenden Instanz ein gewisser Ermessensspielraum zu. Das Gericht ist namentlich dann nicht gehalten, Beweise abzunehmen, wenn die zu beweisende Tatsache nicht entscheidwesentlich ist oder aufgrund der Akten oder anderer Beweismittel bereits als erwiesen gelten kann (MOSER/BEUSCH/KNEUBÜHLER, a.a.O., S. 158 Rz. 3.125). Die urteilende Behörde kann von einem beantragten Beweismittel auch dann absehen, wenn bereits Feststehendes bewiesen werden soll, wenn zum Voraus gewiss ist, dass der angebotene Beweis keine wesentlichen Erkenntnisse zu vermitteln vermag, oder wenn die verfügende Behörde den Sachverhalt aufgrund eigener Sachkunde ausreichend würdigen kann (antizipierte Beweiswürdigung; vgl. MOSER/BEUSCH/KNEUBÜHLER, a.a.O., S. 165 Rz. 3.144).</w:t>
      </w:r>
    </w:p>
    <w:p>
      <w:r>
        <w:rPr>
          <w:b/>
        </w:rPr>
        <w:t>E. 10.2</w:t>
      </w:r>
    </w:p>
    <w:p>
      <w:r>
        <w:t>Vorliegend erübrigt sich die Durchführung eines Augenscheins. Die entscheidrelevanten Sachverhaltselemente sind bereits genügend aus den Akten ersichtlich und es ist nicht erkennbar, inwiefern ein Augenschein eine von den Akten abweichende Entscheidgrundlage ergeben würde. Dies umso mehr als dass ein Augenschein kaum neue Erkenntnissen über die künftige Anlage bringen würde und zum jetzigen Zeitpunkt auch etwas Zufälliges an sich hätte. Bei den Bemerkungen der Beschwerdeführerin über die Klientel des Hotels handelt es sich ausserdem um reine Spekulationen, welche nicht als Grundlage des vorliegenden Entscheids dienen können. Der gestellte Verfahrensantrag ist deshalb abzuweisen.</w:t>
      </w:r>
    </w:p>
    <w:p>
      <w:r>
        <w:rPr>
          <w:b/>
        </w:rPr>
        <w:t>E. 11</w:t>
      </w:r>
    </w:p>
    <w:p>
      <w:r>
        <w:t>Bei diesem Ausgang des Verfahrens gilt die Beschwerdeführerin als unterliegende Partei und hat die Verfahrenskosten zu tragen (Art. 63 Abs. 1 VwVG). Die Kosten für dieses Verfahren werden auf Fr. 2'000.-- gesetzt (Art. 1 ff. des Reglements vom 21. Februar 2008 über die Kosten und Entschädigungen vor dem Bundesverwaltungsgericht (VGKE, SR 173.320.2).</w:t>
      </w:r>
    </w:p>
    <w:p>
      <w:r>
        <w:rPr>
          <w:b/>
        </w:rPr>
        <w:t>E. 12</w:t>
      </w:r>
    </w:p>
    <w:p>
      <w:r>
        <w:t>Parteientschädigungen bezwecken den Ersatz derjenigen Kosten, welche eine Prozesspartei zur Verfolgung ihrer geltend gemachten Rechte aufgewendet hat; sie stellen Schadenersatz der aus der Verfahrensführung entstandenen Kosten dar (MOSER/BEUSCH/KNEUBÜHLER, a.a.O., S. 212 Rz. 4.62). Die Beschwerdeinstanz kann einer ganz oder teilweise obsiegenden Partei von Amtes wegen oder auf Begehren eine Entschädigung für ihr erwachsene notwendige und verhältnismässig hohe Kosten zusprechen (Art. 64 Abs. 1 VwVG). Parteikosten sind dann als notwendig zu betrachten, wenn sie zur sachgerechten und wirksamen Rechtsverfolgung oder Rechtsverteidigung unerlässlich erscheinen. Die Frage, ob der Beizug eines rechtskundigen Vertreters notwendig ist, hängt weitgehend von den Umständen des Einzelfalles ab. Rechtsprechung und Lehre stellen an die Bejahung der Notwendigkeit einer Rechtsvertretung keine strengen Anforderungen, so dass im Verfahren vor Bundesverwaltungsgericht in aller Regel der Beizug eines rechtskundigen Vertreters unter diesem Aspekt zu akzeptieren ist (MOSER/BEUSCH/KNEUBÜHLER, a.a.O., S. 215 Rz. 4.68). Indem das Gericht die Position der Beigeladenen gestützt hat und auch der Beizug einer Rechtsvertretung vorliegend nicht zu beanstanden ist, wird der Beigeladenen eine Parteientschädigung in der Höhe von Fr. 3'000.-- zugesprochen. Weder die unterliegende Beschwerdeführerin noch die Vorinstanz haben demgegenüber Anspruch auf eine Parteientschädigung (Art. 64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