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A-5276/2013 vom 11. Februar 2014</w:t>
      </w:r>
    </w:p>
    <w:p>
      <w:r>
        <w:t>Bundesverwaltungsgericht, 2014-02-11, DE</w:t>
      </w:r>
    </w:p>
    <w:p>
      <w:r>
        <w:rPr>
          <w:b/>
        </w:rPr>
        <w:t xml:space="preserve">Quelle: </w:t>
      </w:r>
      <w:r>
        <w:t>https://mcp.opencaselaw.ch/entscheid/bvger_A-5276_2013</w:t>
      </w:r>
    </w:p>
    <w:p>
      <w:r>
        <w:t>FR: TAF A-5276/2013 du 11 février 2014</w:t>
      </w:r>
    </w:p>
    <w:p>
      <w:r>
        <w:t>IT: TAF A-5276/2013 del 11 febbraio 2014</w:t>
      </w:r>
    </w:p>
    <w:p>
      <w:pPr>
        <w:pStyle w:val="Heading2"/>
      </w:pPr>
      <w:r>
        <w:t>Regeste</w:t>
      </w:r>
    </w:p>
    <w:p>
      <w:r>
        <w:t>Militärdienstpflicht</w:t>
      </w:r>
    </w:p>
    <w:p>
      <w:pPr>
        <w:pStyle w:val="Heading2"/>
      </w:pPr>
      <w:r>
        <w:t>Erwägungen</w:t>
      </w:r>
    </w:p>
    <w:p>
      <w:r>
        <w:rPr>
          <w:b/>
        </w:rPr>
        <w:t>E. 1.1</w:t>
      </w:r>
    </w:p>
    <w:p>
      <w:r>
        <w:t>Das Bundesverwaltungsgericht beurteilt Beschwerden gegen Verfügungen im Sinn von Art. 5 des Verwaltungsverfahrensgesetzes vom 20. Dezember 1968 (VwVG, SR 172.021; Art. 31 des Verwaltungs­gerichtsgesetzes vom 17. Juni 2005 [VGG, SR 173.32]). Die angefochtene Verfügung stützt sich auf Art. 22 des Militärgesetzes vom 3. Februar 1995 (MG, SR 510.10) und stellt eine solche Verfügung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da seinem Antrag nicht entsprochen worden ist, durch diese auch materiell beschwert und deshalb zur Beschwerde befugt.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auch auf Angemessenheit hin (Art. 49 VwVG).</w:t>
      </w:r>
    </w:p>
    <w:p>
      <w:r>
        <w:rPr>
          <w:b/>
        </w:rPr>
        <w:t>E. 3</w:t>
      </w:r>
    </w:p>
    <w:p>
      <w:r>
        <w:t>Zunächst ist auf die formelle Rüge, die Vorinstanz habe das rechtliche Gehör verletzt, einzugehen. Der Beschwerdeführer macht geltend, die Vorinstanz habe seine Eingabe weder zur Kenntnis genommen noch sich damit auseinander gesetzt. Angesichts der Schwere des Entscheids für ihn gelte ein erhöhtes Begründungsmass, das nicht erfüllt werde. Durch die auf Feststellungen beschränkte Begründung habe die Vorinstanz überdies eine sinnvolle Anfechtung der Verfügung vereitelt.</w:t>
      </w:r>
    </w:p>
    <w:p>
      <w:r>
        <w:rPr>
          <w:b/>
        </w:rPr>
        <w:t>E. 3.1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Praxiskommentar VwVG, Waldmann/Weissenberger [Hrsg.], Zürich 2009 [hiernach: Praxis­kommentar VwVG], Art. 32 N 18 und 21).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Zürich 2008 [hiernach: VwVG-Kommentar], Rz. 8 zu Art. 35). Die Begründungsdichte richtet sich nach den Umständen des Einzelfalles. So gelten einerseits im Bereich der sog. Massenverwaltung herabgesetzte Anforderungen an das Begründungsmass. Entsprechend ist in diesen Bereichen die Verwendung von Textbausteinen und Formularen zwar zulässig, jedoch nur insoweit, als dies eine für den konkreten Fall noch angemessene und verständliche Begründung erlaubt (Urteil des Bundesgerichts I 460/02 vom 26. Juni 2003 E. 1; Kneubühler, VwVG-Kommentar, Rz. 18 zu Art. 35; Alfred Kölz/Isabelle Häner/Martin Bertschi, Verwaltungsver­fah­ren und Verwaltungsrechtspflege des Bundes, 3. Aufl., Zürich/Ba­sel/Genf 2013, N 632).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(BGE 125 II 369 E. 2c, BGE 112 Ia 107 E. 2b; Urteil des Bundesgerichts 4A.15/2006 vom 13. Dezember 2006 E. 4.1; Urteil des Bundesverwaltungsgerichts A 5859/2012 vom 15. Mai 2013 E. 3.8.1; Kölz/Häner/Bertschi, a.a.O., N 631; Felix Uhlmann/Alexandra Schwank, Praxiskommentar VwVG, Art. 35 N 21).</w:t>
      </w:r>
    </w:p>
    <w:p>
      <w:r>
        <w:rPr>
          <w:b/>
        </w:rPr>
        <w:t>E. 3.2</w:t>
      </w:r>
    </w:p>
    <w:p>
      <w:r>
        <w:t>Aus der äusserst kurz gehaltenen Verfügung geht hervor, dass die Vorinstanz den Beschwerdeführer gestützt auf Art. 22 MG aus der Armee ausschliesst und seine mit Strafbefehl geahndete Straftat als schwer erachtet, weshalb sie ihn als für die Armee untragbar einstuft. Die Ausführungen des Beschwerdeführers ändere nichts an ihren Feststellungen zum Sachverhalt. Der Wille zu guter Militärdienstleistung könne nicht dazu führen, dass jegliche Delinquenz unbedeutend werde. Die Vorinstanz macht weiter geltend, der Armeeausschluss erfolge zur Wahrung der Akzeptanz und Glaub­würdigkeit der Armee und damit im öffentlichen Interesse. Ferner weist sie darauf hin, dass sie auch aus Gründen der Rechtsgleichheit am Ausschluss festhält. In der Vernehmlassung vom 25. Oktober 2013 wiederholt die Vorinstanz im Wesentlichen den Verfahrensablauf und den Auszug aus den Strafregister und dass sie das Urteil als gewichtig einstuft. Weiter betont sie den Gleichbehandlungs­grundsatz, wonach sie gleichartige Fälle gleich zu behandeln habe und dass ein öffentliches Interesse am Ausschluss bestehe. Ferner werden die Elemente einer Verhältnis­mässigkeitsprüfung aufgezählt. Die Vernehmlassung enthält somit kaum neue Elemente oder präzisere Ausführungen, weshalb auch diese nicht als hinreichende Begründung dienen kann.</w:t>
      </w:r>
    </w:p>
    <w:p>
      <w:r>
        <w:rPr>
          <w:b/>
        </w:rPr>
        <w:t>E. 3.3</w:t>
      </w:r>
    </w:p>
    <w:p>
      <w:r>
        <w:t>Die Vorinstanz legt somit die einzelnen Überlegungen, welche ihrem Entscheid zugrunde liegen, nur ansatzweise offen. Ausser dem bekundeten Willen, engagiert Militärdienst zu leisten, nimmt die Vorinstanz keine Vorbringen des Beschwerdeführers ausdrücklich auf und legt auch nicht dar, weshalb sie anderer Auffassung ist. Zwar sind in Bereichen der Massenverwaltung - wozu gemäss Recht­sprechung auch die Entscheidungen der Vorinstanz zu zählen sind (vgl. Urteil des Bundesverwaltungsgerichts A-4854/2012 vom 7. März 2013 E. 3.2) - die Anforderungen an die Begründungsdichte herabgesetzt. Dennoch muss auch in diesen Bereichen eine - wenn auch knappe - auf den konkreten Fall bezogene, angemessene Begründung erfolgen. So bedarf der Begriff der Untragbarkeit als unbestimmter Rechtsbegriff der Konkretisierung, wobei der Vorinstanz, die mit den tatsächlichen Verhältnissen besonders vertraut ist, ein erheblicher Ermessenspielraum zugestanden wird. Dies führt jedoch dazu, dass die Anforderungen an die Begründungsdichte diesbezüglich wiederum erhöht sind (vgl. Urteile des Bundesverwaltungsgerichts A 4854/20102 vom 7. März 2013 E. 4.2, A 2962/2013 vom 28. Oktober 2013 E. 5.3 und A 3298/2010 vom 24. November 2010 E. 3.1). Die Vorinstanz hätte zumindest kurz den Begriff der Untragbarkeit konkretisieren und daraufhin detailliert darlegen müssen, aus welchen Gründen der Beschwerdeführer die Voraussetzungen für einen Ausschluss aus der Armee erfüllt. Zudem wären insbesondere auch die Kriterien in Art. 69 Abs. 1 Bst. a-d der Verordnung vom 19. November 2003 über die Militärdienstpflicht (MDV, SR 512.21) zu berücksichtigen gewesen, wobei diese für einen Armeeausschluss nicht kumulativ erfüllt sein müssen. Ebenso hätte sie Bezug auf ihre Entscheidpraxis (vgl. Art. 69 Abs. 3 MDV) nehmen und diese darlegen müssen. Weder der Beschwerdeführer noch das Gericht kann aufgrund der Vorbringen erkennen, dass die Vorinstanz andere Armeeangehörige, namentlich Rekruten und Soldaten mit vergleichbaren Strafurteilen bzw. ähnlichem Strafmass ebenfalls ausgeschlossen hat, zumal die Praxis zu Armeeausschlüssen nicht veröffentlicht wird und auch in der Rechtsprechung des Bundes­verwaltungsgerichts nur ein sehr kleiner Teil davon wiedergegeben ist, etwa im Urteil A 4854/2012 vom 7. März 2013. Nur so wäre es möglich gewesen, die Verfügung zu prüfen, insbesondere, ob der Beschwerdeführer rechtsgleich behandelt worden ist. Auch zur Verhältnismässigkeit hätte sich die Vorinstanz äussern müssen, da diese umstritten ist. Kurz darzulegen wäre insbesondere, welches Ziel sie mit dem Ausschluss verfolgt, inwiefern dieser hierfür geeignet und erforderlich ist sowie unter Würdigung der Interessen der Armee und des Beschwerdeführers, dass der Ausschluss zumutbar ist. Folglich hat die Vorinstanz die Begründungspflicht und infolgedessen den Anspruch des Beschwerdeführers auf rechtliches Gehör verletzt.</w:t>
      </w:r>
    </w:p>
    <w:p>
      <w:r>
        <w:rPr>
          <w:b/>
        </w:rPr>
        <w:t>E. 4.1</w:t>
      </w:r>
    </w:p>
    <w:p>
      <w:r>
        <w:t>Der Gehörsanspruch ist nach feststehender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133 I 201 E. 2.2, BGE 129 I 129 E. 2.2.3, BGE 126 V 130 E. 2b, BGE 126 I 68 E. 2; Urteil des Bundesgerichts 1A.234/2006 vom 8. Mai 2007 E. 2.2; BVGE 2009/53; Urteile des Bundesverwaltungsgerichts A-2601/2012 vom 3. Januar 2013 E. 2.2 und B-6272/2008 vom 20. Oktober 2010 E. 3.1; Ulrich Häfelin/Georg Müller/Felix Uhlmann, Allgemeines Verwaltungsrecht, 6. Aufl., Zürich/St. Gallen 2010, Rz. 1710).</w:t>
      </w:r>
    </w:p>
    <w:p>
      <w:r>
        <w:rPr>
          <w:b/>
        </w:rPr>
        <w:t>E. 4.2</w:t>
      </w:r>
    </w:p>
    <w:p>
      <w:r>
        <w:t>Bei Verstössen gegen die Begründungspflicht wird der Mangel als behoben erachtet, wenn die Rechtsmittelbehörde eine hinreichende Begründung liefert oder wenn die Vorinstanz anlässlich der Anfechtung ihres Entscheides eine genügende Begründung nachschiebt; etwa in der Vernehmlassung (vgl. BGE 126 V 130 E. 2b mit Hinweisen; Urteile des Bundesverwaltungsgerichts A-821/2013 vom 2. September 2013 E. 3.2.3 f. und A-1681/2006 vom 13. März 2008 E. 2.4; André Moser/Michael Beusch/Lorenz Kneubühler, Prozessieren vor dem Bundes­verwaltungsgericht, 2. Aufl. Basel 2013, Rz. 3.114).</w:t>
      </w:r>
    </w:p>
    <w:p>
      <w:r>
        <w:rPr>
          <w:b/>
        </w:rPr>
        <w:t>E. 4.3</w:t>
      </w:r>
    </w:p>
    <w:p>
      <w:r>
        <w:t>Die Heilung der Gehörsverletzung fällt vorliegend ausser Betracht. Nach konstanter Rechtsprechung und Lehre kann ein Mangel von der Beschwerdeinstanz nur geheilt werden, wenn sie im Beschwerde­verfahren mit der gleichen Prüfungsbefugnis entscheidet wie die untere Instanz. Wie bereits oben (E. 3.3) festgehalten wurde, anerkennt das Bundesverwaltungsgericht, dass der Vorinstanz bei Verfahren betreffend Ausschluss aus der Armee ein grosser Ermessenspielraum zukommt. Angesichts dessen kann es nicht angehen, dass das Bundes­verwaltungsgericht im Rahmen einer allfälligen Heilung einer Gehörsverletzung in den Beurteilungsspielraum der Vorinstanz eingreift und die ihm zustehende Prüfungsbefugnis voll ausschöpft. Dies gilt besonders im vorliegenden Fall, in welchem das rechtliche Gehör durch die mangelhafte Begründung bzw. Konkretisierung des unbestimmten Rechtsbegriffes der Untragbarkeit im Sinne von Art. 22 Abs. 1 MG verletzt, auch im Beschwerdeverfahren keine hinreichende Begründung nachgeliefert wurde und nach wie vor Unklarheiten bezüglich der vorinstanzlichen Ausschlusspraxis und der Verhältnismässigkeit be­stehen. Der Verzicht auf eine Rückweisung an die Vorinstanz zur Korrektur des Verfahrensfehlers hätte in einem derartigen Fall einen nicht wieder gutzumachenden Nachteil zur Folge (Waldmann/Bickel, Praxiskommentar VwVG, Art. 29 N 120). Aus denselben Überlegungen ist es auch nicht möglich, dass das Bundesverwaltungsgericht die Rechtmässigkeit des Ausschlusses aus der Armee gestützt auf einen mangelhaft begründeten Entscheid beurteilt und diesen hierzu aus eigenen Schritten nachträglich umfassend begründet. Für die Begründung ihres Entscheides, ob der Beschwerdeführer für die Armee weiterhin tragbar ist, wird die Vorinstanz etwa auf den Polizeirapport abzustellen haben, der sich in den Akten befindet. Zur Schwere und den Umständen der Tat - einem in Art. 69 Abs. 1 Bst. a MDV genannten Kriterium - kann berücksichtigt werden, dass sie erst vor relativ kurzer Zeit begangen worden ist, dass der Beschwerdeführer in der ersten Reihe der Randalierenden war und sich mit einer "Sturm­haube" vermummt hatte. Gewürdigt werden darf auch, dass es sich um ein in der Öffentlichkeit äusserst negativ behaftetes Gewaltdelikt handelt, das auch im Bundesgesetz über Massnahmen zur Wahrung der inneren Sicherheit vom 21. März 1997 (BWIS, SR 120) aufgeführt wird und dass der Straftat ein gewisser Spektakelwert zukommt, der sich nicht nur auf den Ruf der Armee auswirken kann, sondern allenfalls auch zu Spannungen mit den Kameraden führen könnte. Dies im Rahmen der Begründung vorzubringen und zu würdigen, ist und bleibt jedoch die Aufgabe der Vorinstanz und nicht des in dieser Sache letztinstanzlich entscheidenden Bundesverwaltungsgericht.</w:t>
      </w:r>
    </w:p>
    <w:p>
      <w:r>
        <w:rPr>
          <w:b/>
        </w:rPr>
        <w:t>E. 5</w:t>
      </w:r>
    </w:p>
    <w:p>
      <w:r>
        <w:t>Zusammengefasst hat die Vorinstanz die angefochtene Verfügung ungenügend begründet. Als Folge der Verletzung der Begründungspflicht, welche vorliegend nicht geheilt werden kann, ist die Verfügung vom 16. August 2013 aufzuheben und die Sache zur erneuten Entscheidung an die Vorinstanz zurückzuweisen. Sie hat die Verfügung im Sinne der Erwägungen eingehender zu begründen. Folglich ist die Beschwerde gutzuheissen.</w:t>
      </w:r>
    </w:p>
    <w:p>
      <w:r>
        <w:rPr>
          <w:b/>
        </w:rPr>
        <w:t>E. 6</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137 V 271 E. 7.1; Urteile des Bundesverwaltungsgerichts A-2601/2012 vom 3. Januar 2013 E. 4 und A-7809/2010 vom 5. September 2011 E. 4). Zudem sind bei einer Rückweisung aufgrund eines Verfahrensfehlers der Vorinstanz, namentlich bei einer Verletzung des rechtlichen Gehörs, der beschwerdeführenden Partei keine Verfahrenskosten aufzuerlegen oder ihr diese zu erlassen (Moser/Beusch/Kneubühler, a.a.O., S. 256 Fussnote 129). Demzufolge sind dem Beschwerdeführer keine Verfahrenskosten aufzuerlegen. Der geleistete Kostenvorschuss von Fr. 1'000.- wird ihm zurückerstattet. Der unterliegenden Vorinstanz werden als Bundes­behörde keine Verfahrenskosten auferlegt (Art. 63 Abs. 2 VwVG).</w:t>
      </w:r>
    </w:p>
    <w:p>
      <w:r>
        <w:rPr>
          <w:b/>
        </w:rPr>
        <w:t>E. 7</w:t>
      </w:r>
    </w:p>
    <w:p>
      <w:r>
        <w:t>Der anwaltlich vertretene Beschwerdeführer hat aufgrund seines Obsiegens Anspruch auf eine Parteientschädigung für ihm erwachsene, notwendige und verhältnismässig hohe Kosten (Art. 64 Abs. 1 VwVG). Wird - wie vorliegend - keine Kostennote eingereicht, so setzt das Gericht die Entschädigung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(vgl. hierzu Art. 7 ff. VGKE). Da sich das Verfahren weder als besonders schwierig noch umfangreich erweist, wird die Parteientschädigung auf Fr. 3'000.- (inkl. Auslagen und Mehr­wertsteuer) festgesetzt. Diese ist von der Vorinstanz zu leisten (Art. 64 Abs. 2 VwVG).</w:t>
      </w:r>
    </w:p>
    <w:p>
      <w:r>
        <w:rPr>
          <w:b/>
        </w:rPr>
        <w:t>E. 8</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