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A-523/2014 vom 24. Juni 2014</w:t>
      </w:r>
    </w:p>
    <w:p>
      <w:r>
        <w:t>Bundesverwaltungsgericht, 2014-06-24, DE</w:t>
      </w:r>
    </w:p>
    <w:p>
      <w:r>
        <w:rPr>
          <w:b/>
        </w:rPr>
        <w:t xml:space="preserve">Quelle: </w:t>
      </w:r>
      <w:r>
        <w:t>https://mcp.opencaselaw.ch/entscheid/bvger_A-523_2014</w:t>
      </w:r>
    </w:p>
    <w:p>
      <w:r>
        <w:t>FR: TAF A-523/2014 du 24 juin 2014</w:t>
      </w:r>
    </w:p>
    <w:p>
      <w:r>
        <w:t>IT: TAF A-523/2014 del 24 giugno 2014</w:t>
      </w:r>
    </w:p>
    <w:p>
      <w:pPr>
        <w:pStyle w:val="Heading2"/>
      </w:pPr>
      <w:r>
        <w:t>Regeste</w:t>
      </w:r>
    </w:p>
    <w:p>
      <w:r>
        <w:t>Bundespersonal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In formeller Hinsicht rügt der Beschwerdeführer sinngemäss, die Vorinstanz habe das rechtliche Gehör und die Begründungspflicht verletzt, ihr Ermessen unterschritten und den Sachverhalt unvollständig festgestellt. In seiner Stellungnahme bringt der Beschwerdeführer zudem vor, die Vorinstanz habe es unterlassen, den direkten Vorgesetzten einzubeziehen.</w:t>
      </w:r>
    </w:p>
    <w:p>
      <w:r>
        <w:rPr>
          <w:b/>
        </w:rPr>
        <w:t>E. 3.2</w:t>
      </w:r>
    </w:p>
    <w:p>
      <w:r>
        <w:t>Die Vorinstanz macht geltend, dass der zuständige HR-Berater mehrfach konsultiert wurde. Im Rahmen des vorliegenden Verfahrens sei zudem eine weitere Stellungnahme beim HR-Berater eingeholt worden. Diese zusätzlichen Abklärungen würden die Korrektheit des festgestellten Sachverhalts bestätigen. Die Vorbringen des Beschwerdeführers seien aufgenommen und es sei erneut abgeklärt worden, ob die von ihm zusätzlich genannten Arbeiten ebenfalls vom Stellenbeschrieb erfasst würden. Im Übrigen habe sich die Vorinstanz darauf verlassen dürfen, dass die Angaben des für den Beschwerdeführer zuständigen HR-Beraters korrekt seien.</w:t>
      </w:r>
    </w:p>
    <w:p>
      <w:r>
        <w:rPr>
          <w:b/>
        </w:rPr>
        <w:t>E. 3.3</w:t>
      </w:r>
    </w:p>
    <w:p>
      <w:r>
        <w:t>Damit bringt die Vorinstanz sinngemäss vor, sie habe die vorhandenen Beweismittel objektiv geprüft und sei zum Schluss gekommen, diese liessen eine zuverlässige Beurteilung des rechtserheblichen Sachverhalts zu.</w:t>
      </w:r>
    </w:p>
    <w:p>
      <w:r>
        <w:rPr>
          <w:b/>
        </w:rPr>
        <w:t>E. 3.4.1</w:t>
      </w:r>
    </w:p>
    <w:p>
      <w:r>
        <w:t>Für das Verfahren vor der Vorinstanz gelten die Regeln des VwVG (vgl. Art. 1 Abs. 1 und 2 VwVG und Ziff. 194 Abs. 2 GAV SBB 2011;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 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3.4.2</w:t>
      </w:r>
    </w:p>
    <w:p>
      <w:r>
        <w:t>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3.140a f.).</w:t>
      </w:r>
    </w:p>
    <w:p>
      <w:r>
        <w:rPr>
          <w:b/>
        </w:rPr>
        <w:t>E. 3.5</w:t>
      </w:r>
    </w:p>
    <w:p>
      <w:r>
        <w:t>Aus diesen Ausführungen geht - wie auch aus den Akten - deutlich hervor, dass im Rahmen des Verfahrens vor der Erst- wie auch der Vorinstanz Stellungnahmen des HR-Beraters eingeholt und den Entscheiden vom 15. April 2013 bzw. 18. Dezember 2013 zu Grunde gelegt wurden. Die Erstinstanz hat eine Befragung des Linienvorgesetzten offenbar nicht deshalb unterlassen, weil sie deren Beweiseignung von vornherein verneinte oder allein die Stellungnahme des HR-Beauftragten als Beweis zulassen wollte. Sie verzichtete vielmehr auf eine Anhörung, weil sie aufgrund einer antizipierten Beweiswürdigung den Sachverhalt als korrekt und erstellt sowie die Erhebung weiterer Beweise als unnötig erachtete. Die Vorinstanz vervollständigte indessen ihrerseits die Beweiserhebung und holte eine weitere Stellungnahme des HR-Beauftragen ein. Auch ohne die Anhörung des direkten Vorgesetzten des Beschwerdeführers durfte sie somit von einem vollständigen und korrekt erhobenen Sachverhalt ausgehen. Es ist deshalb vorliegend nicht zu erkennen, inwiefern die Vorinstanz ihre Kognition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A-5183/2013 vom 24. Februar 2014 E. 3.3.2 f.).</w:t>
      </w:r>
    </w:p>
    <w:p>
      <w:r>
        <w:rPr>
          <w:b/>
        </w:rPr>
        <w:t>E. 4.1</w:t>
      </w:r>
    </w:p>
    <w:p>
      <w:r>
        <w:t>In materieller Hinsicht macht der Beschwerdeführer geltend, er erfülle die zusätzlichen Aufgaben, welche eine Einstufung ins Anforderungsniveau H rechtfertigen würden. Er trage die Projektverantwortung im geforderten Projektvolumen, denn er sei im Rahmen der Projekte für den Aspekt (...) verantwortlich. Im Rahmen der Vorgaben sei er zudem für die Sicherheit zuständig und erstelle entsprechende Dispositive. Es müsse überprüft werden, ob die Stellenbeschreibung den vom Beschwerdeführer an seiner Stelle tatsächlich geleisteten Arbeiten entspreche.</w:t>
      </w:r>
    </w:p>
    <w:p>
      <w:r>
        <w:rPr>
          <w:b/>
        </w:rPr>
        <w:t>E. 4.2</w:t>
      </w:r>
    </w:p>
    <w:p>
      <w:r>
        <w:t>Die Vorinstanz hält dem entgegen, dass der Beschwerdeführer die zusätzlichen Aufgaben des Projektleiters nicht übernehme und deshalb nicht dem Anforderungsniveau H zuzuordnen sei. Der Beschwerdeführer führe Aufgaben des Projektmanagements in unterstützender Rolle aus. Dabei nehme er nur eine Teilverantwortung wahr. Je nach Rolle seien sämtliche in einem Projekt mitwirkende Mitarbeitenden in unterschiedlicher Ausprägung für Sicherheits- und Qualitätsfragen zuständig. Weil der Beschwerdeführer nicht über die entsprechende Ausbildung verfüge, sei er aber nicht für die Erstellung von Sicherheitsdispositiven verantwortlich. Der Schwerpunkt der vom Beschwerdeführer übernommenen Aufgaben decke sich mit dem Stellenbeschrieb Nr. 2382016.</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wie erwähnt (vgl. Bst. A),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E.4.3, A-5183/2013 vom 24. Februar 2014 E. 5.3, und A-1876/2013 vom 6. Januar 2014 E. 5.1.2). Die Zuordnung der konkret ausgeübten Funktion setzt allerdings voraus, dass über die effektiv wahrgenommenen Aufgaben Klarheit besteht.</w:t>
      </w:r>
    </w:p>
    <w:p>
      <w:r>
        <w:rPr>
          <w:b/>
        </w:rPr>
        <w:t>E. 4.5.1</w:t>
      </w:r>
    </w:p>
    <w:p>
      <w:r>
        <w:t>Der Beschwerdeführer bringt vor, im Rahmen der Gewährung des rechtlichen Gehörs sei ihm noch die Funktionskette 3030 (spezialisierte Sachbearbeitung Anlagen; technische Assistenten und technische Fachspezialisten) mitgeteilt worden, mit Verfügung vom 15. April 2013 sei er jedoch in die Kette 3020 (Sachbearbeitung Anlagen; technische Assistentinnen) eingereiht worden. Damit macht er sinngemäss geltend, er sei ins Anforderungsniveau H in der Funktionskette 3030 einzureihen. Die Vorinstanz bringt vor, die Funktionskette 3020 sei für die Funktion des Beschwerdeführers passender.</w:t>
      </w:r>
    </w:p>
    <w:p>
      <w:r>
        <w:rPr>
          <w:b/>
        </w:rPr>
        <w:t>E. 4.5.2</w:t>
      </w:r>
    </w:p>
    <w:p>
      <w:r>
        <w:t>Wie die von der Vorinstanz erstellte Übersicht über den Bereich In-frastruktur Projekte (I-PJ) zeigt, gibt es in der vom Beschwerdeführer geforderten Funktionskette 3030 im Anforderungsniveau H neben der Funktion des Projektleiters die Funktionen "Fachspezialist (Vermessungstechniker 1)" und "technischer Fachspezialist SLT1, Stellwerke". Im vorliegenden Fall hat die Vorinstanz dargelegt, welche zusätzlichen Aufgaben und Kompetenzen der Beschwerdeführer übernehmen müsste, um als Projektleiter ins Anforderungsniveau H in der Funktionskette 3030 eingereiht zu werden. Dieser Vergleich erscheint sachgerecht und wird vom Beschwerdeführer auch nicht bestritten. Im Übrigen führt der Beschwerdeführer nicht näher aus, mit welcher Funktion in der Funktionskette 3030 seine Stelle zu vergleichen wäre und begründet sein Vorbringen nicht näher. Weil es im Bereich I-PJ in der Funktionskette 3020 keine Funktion im Anforderungsniveau H gibt, ist im vorliegenden Fall zu prüfen, ob der Beschwerdeführer die zusätzlichen Anforderungen für die Funktion des Projektleiters im Anforderungsniveau H in der Funktionskette 3030 erfüllen würde.</w:t>
      </w:r>
    </w:p>
    <w:p>
      <w:r>
        <w:rPr>
          <w:b/>
        </w:rPr>
        <w:t>E. 4.5.3</w:t>
      </w:r>
    </w:p>
    <w:p>
      <w:r>
        <w:t>Der Vergleich der Stellenbeschreibungen des technischen Assistenten im Anforderungsniveau G (Stellenbeschreibung Nr. 2381026) und des Projektleiters im Anforderungsniveau H (Stellenbeschreibung Nr. 2381090) ergibt, dass der Projektleiter selbständig eher kleinere, vorwiegend monodisziplinäre Projekte oder Bahnausbau-Projekte von 0,5 Mio. bis 3 Mio. Franken projektiert. Seine Hauptaufgaben sind unter anderem die Führung und Motivation der Projektmitarbeitenden seiner Projekte, das Projektmanagement und die Gesamtverantwortung für die Sicherheit. Der technische Assistent ist neben dem selbständigen Erstellen der Pläne des lückenlos verlegten Gleises auch für das selbständige Projektieren von kleineren bis mittleren monodisziplinären Projekten von 0,5 Mio. bis 2 Mio. Franken zuständig. Seine Hauptaufgaben sind gemäss Stellenbeschrieb die Nachführung und die Projektierung. Im Rahmen der Projektierung erstellt er unter anderem Projektpläne für Fahrbahnprojekte, unterstützt die Projektleiter bei der Planung und Projektierung und projektiert auch selbständig.</w:t>
      </w:r>
    </w:p>
    <w:p>
      <w:r>
        <w:rPr>
          <w:b/>
        </w:rPr>
        <w:t>E. 4.5.4</w:t>
      </w:r>
    </w:p>
    <w:p>
      <w:r>
        <w:t>Im Vergleich zum technischen Assistenten projektiert der Projektleiter somit grössere Projekte selbständig. Auch wenn beide Funktionen selbständig Projekte übernehmen, obliegt das Projektmanagement gemäss Stellenbeschrieb einzig dem Projektleiter. Auch aus dem vom Beschwerdeführer eingereichten Auszug aus dem SAP geht hervor, dass die Gesamtprojektleitung nicht bei ihm liegt, der Beschwerdeführer ist lediglich für den Bereich (...) zuständig. Im Unterschied zum Projektleiter hat der technische Assistent sodann keine personellen Führungsaufgaben. Aus der Stellungnahme des zuständigen HR-Beraters ergibt sich, dass der Beschwerdeführer entgegen seinem Vorbringen keine Sicherheitsdispositive erstellt. Zwar würden sämtliche Mitarbeiter je nach Rolle und in unterschiedlicher Ausprägung für die Bereiche Sicherheit und Qualität Verantwortung übernehmen. Die Erstellung von Sicherheitsdispositiven sei jedoch gemäss dem Reglement RTE 20100 "Sicherheit bei Arbeiten im Gleisbereich" Mitarbeitern mit Ausbildung zum Sicherheitsleiter vorbehalten. Folglich ist der Beschwerdeführer nicht zur Erstellung von Sicherheitsdispositiven legitimiert und übernimmt diese Aufgabe nicht. Die Aufgaben im Bereich Sicherheit im Rahmen der selbständigen Projektierung sind hingegen Teil des Stellenbeschriebs Nr. 2381026. Im Übrigen legt der Beschwerdeführer nicht näher dar, welche zusätzlichen und nicht im Stellenbeschrieb Nr. 2381026 abgebildeten Aufgaben er übernimmt, um ins Anforderungsniveau H eingereiht zu werden.</w:t>
      </w:r>
    </w:p>
    <w:p>
      <w:r>
        <w:rPr>
          <w:b/>
        </w:rPr>
        <w:t>E. 4.5.5</w:t>
      </w:r>
    </w:p>
    <w:p>
      <w:r>
        <w:t>Auch bei der Ausbildung und den Fachkenntnissen unterscheiden sich die Anforderungen an die beiden Funktionen. Für die Funktion des technischen Assistenten im Anforderungsniveau G ist eine abgeschlossene Grundausbildung in der Fachrichtung Geomatiker oder ähnlich nötig. Beim Projektleiter im Anforderungsniveau H hingegen werden zusätzlich zur Berufslehre eine zweijährige Weiterbildung zum Techniker (höhere Fachschule) sowie ein Junior-Projektleiter-Kurs verlangt. Dies zeigt, dass der Projektleiter über umfassendere Kenntnisse und entsprechende vertiefte Zusatzausbildungen verfügen muss. Der Beschwerdeführer macht lediglich geltend, er verfüge über verschiedene Zusatzausbildungen und langjährige Bahnerfahrung, womit er die Mindestanforderungen erfüllen würde. Damit vermag der Beschwerdeführer jedoch nicht darzulegen, dass er über die erforderlichen zusätzlichen Kenntnisse, Aus- und Weiterbildungen verfügt, um die Anforderungen an die Funktion des Projektleiters im Anforderungsniveau H zu erfüllen.</w:t>
      </w:r>
    </w:p>
    <w:p>
      <w:r>
        <w:rPr>
          <w:b/>
        </w:rPr>
        <w:t>E. 4.5.6</w:t>
      </w:r>
    </w:p>
    <w:p>
      <w:r>
        <w:t>Der Beschwerdeführer macht schliesslich geltend, der per 1. Januar 2012 gültige und redaktionell überarbeitete, nicht nummerierte Stellenbeschrieb, welcher der Stellungnahme vom 16. Oktober 2013 beigelegt war, unterscheide sich deutlich von den bisherigen Stellenbeschrieben und entspreche deshalb nicht seinen Aufgaben. Für das vorliegende Verfahren ist dieses Vorbringen jedoch unbeachtlich. Im vorliegenden Fall ist lediglich zu beurteilen, ob die Funktionseinreihung des Stellenbeschriebs Nr. 2381026 und damit die Festlegung des Lohns des Beschwerdeführers ab dem 1. Juli 2011 korrekt ist. Die Funktionsbewertung und Stelleneinreihung des Beschwerdeführers nach einer allfälligen Überarbeitung des Stellenbeschriebs ist nicht Gegenstand des vorliegenden Verfahrens.</w:t>
      </w:r>
    </w:p>
    <w:p>
      <w:r>
        <w:rPr>
          <w:b/>
        </w:rPr>
        <w:t>E. 4.6</w:t>
      </w:r>
    </w:p>
    <w:p>
      <w:r>
        <w:t>Aus dem Gesagten ergibt sich, dass der Beschwerdeführer die zusätzlichen und komplexeren Aufgaben der vergleichbaren Funktion des Projektleiters im Anforderungsniveau H nicht ausübt. Insgesamt zeigt sich, dass die im Stellenbeschrieb Nr. 2381026 aufgeführten Aufgaben dem täglichen Arbeitsalltag des Beschwerdeführers entsprechen und seine Aufgaben darin korrekt und vollständig umschrieben sind. Im Übrigen ist die Zuordnung der Funktion des Technischen Assistenten zum Anforderungsniveau G nicht bestritten. Folglich ist die Zuordnung der Stelle des Beschwerdeführers zum Anforderungsniveau G korrekt.</w:t>
      </w:r>
    </w:p>
    <w:p>
      <w:r>
        <w:rPr>
          <w:b/>
        </w:rPr>
        <w:t>E. 5</w:t>
      </w:r>
    </w:p>
    <w:p>
      <w:r>
        <w:t>Zusammenfassend ist festzuhalten, dass der Sachverhalt im vorliegenden Fall korrekt erstellt wurde, die Vorinstanz ihr Ermessen nicht unterschritten und damit das rechtliche Gehör nicht verletzt wurde. Die Zuordnung des Beschwerdeführers in das Anforderungsniveau H der Funk-tionskette 3020 ist nicht in Frage zu stellen. Bei diesem Ergebnis ist die vorliegende Beschwerde abzuweisen.</w:t>
      </w:r>
    </w:p>
    <w:p>
      <w:r>
        <w:rPr>
          <w:b/>
        </w:rPr>
        <w:t>E. 6.1</w:t>
      </w:r>
    </w:p>
    <w:p>
      <w:r>
        <w:t>Das Beschwerdeverfahren in personalrechtlichen Belangen ist grundsätzlich kostenlos (vgl. Art. 34 Abs. 2 BPG). Es sind daher keine Verfahrenskosten zu erheben.</w:t>
      </w:r>
    </w:p>
    <w:p>
      <w:r>
        <w:rPr>
          <w:b/>
        </w:rPr>
        <w:t>E. 6.2</w:t>
      </w:r>
    </w:p>
    <w:p>
      <w:r>
        <w:t>Der vollumfänglich unterliegende Beschwerdeführer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