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A-5232/2017 vom 24. Oktober 2018</w:t>
      </w:r>
    </w:p>
    <w:p>
      <w:r>
        <w:t>Bundesverwaltungsgericht, 2018-10-24, FR</w:t>
      </w:r>
    </w:p>
    <w:p>
      <w:r>
        <w:rPr>
          <w:b/>
        </w:rPr>
        <w:t xml:space="preserve">Quelle: </w:t>
      </w:r>
      <w:r>
        <w:t>https://mcp.opencaselaw.ch/entscheid/bvger_A-5232_2017</w:t>
      </w:r>
    </w:p>
    <w:p>
      <w:r>
        <w:t>FR: TAF A-5232/2017 du 24 octobre 2018</w:t>
      </w:r>
    </w:p>
    <w:p>
      <w:r>
        <w:t>IT: TAF A-5232/2017 del 24 ottobre 2018</w:t>
      </w:r>
    </w:p>
    <w:p>
      <w:pPr>
        <w:pStyle w:val="Heading2"/>
      </w:pPr>
      <w:r>
        <w:t>Regeste</w:t>
      </w:r>
    </w:p>
    <w:p>
      <w:r>
        <w:t>Taxe sur la valeur ajoutée</w:t>
      </w:r>
    </w:p>
    <w:p>
      <w:pPr>
        <w:pStyle w:val="Heading2"/>
      </w:pPr>
      <w:r>
        <w:t>Erwägungen</w:t>
      </w:r>
    </w:p>
    <w:p>
      <w:r>
        <w:rPr>
          <w:b/>
        </w:rPr>
        <w:t>E. 1</w:t>
      </w:r>
    </w:p>
    <w:p>
      <w:r>
        <w:t>La présente décision sur réclamation remplace celle du 2 juillet 2013, qui est de ce fait annulée.</w:t>
      </w:r>
    </w:p>
    <w:p>
      <w:r>
        <w:rPr>
          <w:b/>
        </w:rPr>
        <w:t>E. 1.1</w:t>
      </w:r>
    </w:p>
    <w:p>
      <w:r>
        <w:t>Le Tribunal administratif fédéral est compétent ratione materiae pour traiter du recours et celui-ci répond clairement aux conditions légales de forme et de délai (art. 32 s. de la loi fédérale du 17 juin 2005 sur le Tribunal administratif fédéral [LTAF, RS 173.32]; art. 22a al. 1 let. b, 50 al. 1, 52 de la loi fédérale du 20 décembre 1968 sur la procédure administrative [PA, RS 172.021]). La compétence fonctionnelle est également donnée, comme cela a déjà été jugé d'ailleurs (arrêt du TAF A-4913/2013 du 23 octobre 2014 consid. 1.2; voir aussi arrêt du TAF A-6806/2016 du 27 mars 2018 consid. 1.3).</w:t>
      </w:r>
    </w:p>
    <w:p>
      <w:r>
        <w:rPr>
          <w:b/>
        </w:rPr>
        <w:t>E. 1.2</w:t>
      </w:r>
    </w:p>
    <w:p>
      <w:r>
        <w:t>Les parties recourantes sont ici M._______ et N._______, comme cela a été exposé (let. H), à l'exclusion des autres intéressés figurant sur la page de garde de la décision (let. F.b ci-dessus). Il y a ainsi lieu d'entrer en matière. 2. La jurisprudence a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du TAF A-8271/2015 du 29 août 2016 consid. 3.1.2). Le droit d'être entendu est une garantie de nature formelle, dont la violation entraîne en principe l'annulation de la décision attaquée, indépendamment des chances de succès du recours sur le fond (ATF 135 I 187 consid. 2.2, 126 I 19 consid. 2d/bb). Selon la jurisprudence, sa violation peut cependant être réparée lorsque la partie lésée a la possibilité de s'exprimer devant une autorité de recours jouissant d'un plein pouvoir d'examen (ATF 142 II 218 consid. 2.8.1, 135 I 279 consid. 2.6.1, 133 I 201 consid. 2.2, 118 Ib 111 consid. 4b; arrêts du TAF A-4572/2015 du 9 mars 2017 consid. 4.1, A-688/2015 du 22 février 2016 consid. 3.1, A-3387/2015 du 19 février 2016 consid. 2.1).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133 I 201 consid. 2.2; arrêts du TAF A-6949/2010 du 22 juillet 2014 consid. 5.2, A-2117/2013 du 6 mars 2014 consid. 2.1.2). Lorsque le Tribunal retient une violation du droit d'être entendu, il convient d'en tenir compte dans une juste mesure dans la répartition des frais et dépens, ce même si le Tribunal considère que la violation est réparée en cours de procédure (arrêts du TAF A-891/2016 du 20 juin 2017 consid. 6.2, A-4061/2016 du 3 mai 2017 consid. 7, voir aussi arrêt du TAF A-8274/2015 du 29 août 2016 consid. 9). 3. La loi fédérale du 12 juin 2009 régissant la taxe sur la valeur ajoutée (LTVA, RS 641.20) est entrée en vigueur le 1er janvier 2010. Elle s'applique donc, ainsi que l'ordonnance du 27 novembre 2009 régissant la taxe sur la valeur ajoutée (OTVA, RS 641.201), à la présente cause, qui porte sur des périodes courant dès le 1er janvier 2010. 4.</w:t>
      </w:r>
    </w:p>
    <w:p>
      <w:r>
        <w:rPr>
          <w:b/>
        </w:rPr>
        <w:t>E. 2</w:t>
      </w:r>
    </w:p>
    <w:p>
      <w:r>
        <w:t>La réclamation est partiellement admise.</w:t>
      </w:r>
    </w:p>
    <w:p>
      <w:r>
        <w:rPr>
          <w:b/>
        </w:rPr>
        <w:t>E. 3</w:t>
      </w:r>
    </w:p>
    <w:p>
      <w:r>
        <w:t>La créance fiscale est fixée selon chiffre 5 des considérants.</w:t>
      </w:r>
    </w:p>
    <w:p>
      <w:r>
        <w:rPr>
          <w:b/>
        </w:rPr>
        <w:t>E. 4</w:t>
      </w:r>
    </w:p>
    <w:p>
      <w:r>
        <w:t>Le groupe TVA K._______ a acquitté à bon droit pour les périodes allant du 1er trimestre 2010 au 4e trimestre 2011: CHF 2'579'033.- taxe sur la valeur ajoutée plus intérêt moratoire.</w:t>
      </w:r>
    </w:p>
    <w:p>
      <w:r>
        <w:rPr>
          <w:b/>
        </w:rPr>
        <w:t>E. 4.1</w:t>
      </w:r>
    </w:p>
    <w:p>
      <w:r>
        <w:t>La TVA vise à taxer la consommation finale non entrepreneuriale. Cependant, ce ne sont pas les consommateurs, mais les entrepreneurs fournissant des prestations en échange d'une contre-prestations qui y sont assujettis. Cette manière de faire s'impose pour des motifs pratiques (ATF 123 II 295 consid. 5a). Dès lors, lorsque des prestations frappées de l'impôt sont acquises par un assujetti "dans le cadre de son activité entrepreneuriale", celui-ci peut déduire le montant de l'impôt ainsi payé de sa propre dette à l'égard du fisc ("déduction de l'impôt préalable"; art. 28 al. 1 LTVA). L'expression "dans le cadre de son activité entrepreneuriale" souligne que l'acquisition d'une prestation doit objectivement se trouver en rapport avec l'activité entrepreneuriale de l'assujetti (arrêt du TAF A-2800/2016 du 27 juin 2017 consid. 2; voir aussi arrêts du TAF A-5578/2017 du 3 mai 2018 consid. 2.5, A-4090/2016 du 22 décembre 2016 consid. 5). Ainsi, toutes les prestations acquises dans le cadre d'une activité entrepreneuriale donnent droit à la déduction de l'impôt préalable (arrêts du TAF A-4913/2013 du 23 octobre 2014 consid. 5.3.1, A-5017/2013 du 15 juillet 2014 consid. 2.8.5, A 3149/2012 du 4 janvier 2013 consid. 3).</w:t>
      </w:r>
    </w:p>
    <w:p>
      <w:r>
        <w:rPr>
          <w:b/>
        </w:rPr>
        <w:t>E. 4.2</w:t>
      </w:r>
    </w:p>
    <w:p>
      <w:r>
        <w:t>L'assujetti qui utilise des biens, des parties de biens ou des services en partie hors de son activité entrepreneuriale ou qui, dans le cadre de son activité entrepreneuriale, les utilise à la fois pour des prestations donnant droit à la déduction de l'impôt préalable et pour des prestations n'y donnant pas droit (double affectation) doit corriger le montant de l'impôt préalable en proportion de l'utilisation qui en est faite (art. 30 al. 1 LTVA; arrêt du TAF A-4090/2016 du 22 décembre 2016 consid. 5.1). La correction peut être opérée en fonction de l'affectation effective, en s'appuyant sur une méthode forfaitaire dont les forfaits ont été fixés par l'AFC ou sur la base de calculs propres (art. 65 OTVA). Si l'assujetti se fonde sur ses propres calculs, il doit justifier en détail les faits sur lesquels se fondent ses calculs et procéder à un contrôle de plausibilité (art. 67 OTVA). L'assujetti peut choisir une ou plusieurs méthodes pour calculer la correction de la déduction de l'impôt préalable, pour autant que cela conduise à un résultat correct (art. 68 al. 1 OTVA; AFC, Info TVA 09 Déduction de l'impôt préalable et corrections de la déduction de l'impôt préalable, publiée en janvier 2010, ch. 4.1). Est considérée comme appropriée (sachgerecht) toute application d'une ou de plusieurs méthodes qui tient compte du principe de l'économie de la perception, est compréhensible sous l'aspect économique et répartit l'impôt préalable conformément à l'utilisation pour une activité déterminée (art. 68 al. 2 OTVA; arrêt du TAF A-4913/2013 du 23 octobre 2014 consid. 5.3.2). L'art. 68 al. 2 OTVA reprend les principes jurisprudentiels déjà applicables sous l'aLTVA (arrêt du TF 2C_933/2016 du 15 janvier 2018 consid. 3.2).</w:t>
      </w:r>
    </w:p>
    <w:p>
      <w:r>
        <w:rPr>
          <w:b/>
        </w:rPr>
        <w:t>E. 5</w:t>
      </w:r>
    </w:p>
    <w:p>
      <w:r>
        <w:t>En l'espèce, le premier volet du litige porte sur le droit des recourantes d'accéder au dossier.</w:t>
      </w:r>
    </w:p>
    <w:p>
      <w:r>
        <w:rPr>
          <w:b/>
        </w:rPr>
        <w:t>E. 6.1</w:t>
      </w:r>
    </w:p>
    <w:p>
      <w:r>
        <w:t>Elles soutiennent, en marge de leur argumentation au fond traitée plus bas (consid. 6.3), qu'elles n'auraient pas accédé à un tableau sous format excel, auquel renvoi un autre tableau, celui du 17 juillet 2017 (pièce 17 jointe au recours) annexé à la décision litigieuse. L'AFC souligne que les pièces ont été remises aux recourantes sous forme électronique les 28 et 30 août 2017 (pièce 19 jointe au dossier de l'AFC). Les recourantes exposent de nombreux détails des raisons (filtre anti-spam) qui pourraient, selon elles, expliquer pourquoi elles n'auraient pas reçus par e-mail le tableau excel prétendu. Les recourantes reprochent même à l'AFC de ne pas s'être assurée que l'envoi par e-mail est bien arrivé à destination. Le Tribunal peine à comprendre ce que les recourantes souhaitent déduire de leur exposé. A l'évidence, les recourantes ont connaissance de l'existence des pièces du dossier. Elles ont en outre eu largement la possibilité de consulter toutes pièces utiles; elles se sont d'ailleurs rendues dans les bureaux de l'AFC à cette fin le 24 août 2017. Pour le surplus, la scène judiciaire n'est certainement pas le lieu de discuter les contingences d'ordre informatique pouvant émailler l'activité de n'importe quel utilisateur d'un ordinateur. Aucune violation du droit d'être entendues des recourantes n'est donc à relever ici, étant précisé qu'une violation du droit d'être entendu sous l'angle de la motivation de la décision attaquée n'est pas solidement soutenue ni soutenable d'ailleurs.</w:t>
      </w:r>
    </w:p>
    <w:p>
      <w:r>
        <w:rPr>
          <w:b/>
        </w:rPr>
        <w:t>E. 6.2.1</w:t>
      </w:r>
    </w:p>
    <w:p>
      <w:r>
        <w:t>Cela clarifié, le Tribunal doit définir l'objet du litige sur le fond. D'entrée de cause, le Tribunal souligne que la procédure est close en ce qui concerne les points sur lesquels il a déjà statué dans les considérants de son arrêt A-4913/2013 du 23 octobre 2014 (ATF 135 III 334 consid. 2, 131 III 91 consid. 5.2, 120 V 233 consid. 1a, 117 V 237 consid. 2a, arrêts du TF 9C_703/2009 du 30 octobre 2010 consid. 2.2, 2C_184/2007 du 4 septembre 2007 consid. 3.1; arrêts du TAF A-4154/2016 du 15 août 2017 consid. 3, A-5682/2011 du 3 avril 2012 consid. 2.4.1). Les recourantes discutent l'activité d'intermédiaire de N._______, aussi bien sur le fond qu'à la forme (manque de motivation dans la décision attaquée). Elles soumettent des arguments essentiellement similaires à ceux traités par le Tribunal de céans dans son arrêt A-4913/2013 cité (consid. 5.2, notamment 5.2.9.5) et relatifs à la distinction à opérer entre activité de négociation (exclue du champ de l'impôt) et activité d'apporteur de clients (imposable; voir aussi le recours du 2 septembre 2013 p. 46 ss déposé dans la procédure A-4913/2013). A ce titre, l'AFC retient, dans sa décision, que l'arrêt cité A-4913/2013 statue définitivement sur les prestations acquises de l'étranger par N._______, le Tribunal fédéral ayant déclaré irrecevable les recours déposé contre cet arrêt. Dans leur réplique, les recourantes persistent en substance à déduire du fait que certains points ont fait l'objet d'un renvoi (en l'occurrence, les aspects relatifs à la composition du résultat permettant le calcul du forfait bancaire [arrêt A-4913/2013 cité consid. 4] ainsi qu'à la méthode de calcul en matière de correction de la déduction de l'impôt préalable [arrêt A-4913/2013 cité consid. 5.3]) qu'un autre point définitivement tranché devrait aussi pouvoir être rediscuté dans la présente procédure (à savoir l'activité d'intermédiaire de N._______ [arrêt A-4913/2013 cité consid. 5.2]). Le Tribunal ne saurait toutefois entrer en matière sur une quelconque demande de reconsidération de son arrêt ou de prononcé d'une décision répétant ce qui a déjà été tranché au seul motif que les recourantes demandent à pouvoir contester au fond l'arrêt A-4913/2013 cité devant le Tribunal fédéral. Ce dernier examine lui-même les règles de la LTF applicables pour juger de la recevabilité de tout recours. Dès lors, les conclusions des recourantes tendant à la remise en cause de l'arrêt A-4913/2013 cité consid. 5.2 sont irrecevables, et le fait que l'AFC ait pu ne pas amender sa pratique suite à la critique du Tribunal de céans (voir arrêt A-4913/2013 cité consid. 5.2.9.2 et 5.2.9.5: voir également Fabienne Boinnard/Gilles Widder, TVA - Intermédiation financière/négociation, EF 2016 p. 580 ss) n'y change rien. Au demeurant, les recourantes trouveront dans l'arrêt A-4913/2013 cité les motifs pour lesquels leurs arguments traitant de l'activité d'intermédiaire doivent être rejetés. En définitive, le Tribunal ne peut que renvoyer au considérant pertinent du Tribunal fédéral, qui a jugé que rien ne laisse supposer que les recourantes ne pourraient pas faire valoir leurs griefs devant le Tribunal fédéral (art. 93 al. 3 LTF) dans l'hypothèse où ce dernier, une fois rendue la nouvelle décision de l'Administration fédérale, prononcerait sur recours une décision finale au fond qui leur serait à nouveau défavorable (arrêt 2C_1067/2014, 2C_1077/2014 du 18 mars 2016 consid. 2.3.7; voir également Yves Donzallaz, Commentaire LTF, 2008, n° 3400 ad art. 92 et 93 LTF).</w:t>
      </w:r>
    </w:p>
    <w:p>
      <w:r>
        <w:rPr>
          <w:b/>
        </w:rPr>
        <w:t>E. 6.3.1</w:t>
      </w:r>
    </w:p>
    <w:p>
      <w:r>
        <w:t>Ce cadre posé, le Tribunal relève que même si la décision attaquée traite également de la composition du résultat de C._______ dans le cadre des prestations qu'elle a fournies permettant le calcul du forfait bancaire du groupe TVA K._______, ce n'est pas cet aspect qui est litigieux ici (consid. 4.1 de la décision). Les recourantes attaquent ici précisément l'aspect de la décision qui concerne les prestations fournies par N._______ (voir consid. 4.2 de la décision). Aussi, l'objet du litige concerne la manière de calculer l'impôt préalable récupérable dans le cadre des prestations fournies par cette dernière. La période litigieuse ici tombe dans le champ de la LTVA, même si des périodes antérieures sont également évoquées ci-dessous afin de préciser le contexte.</w:t>
      </w:r>
    </w:p>
    <w:p>
      <w:r>
        <w:rPr>
          <w:b/>
        </w:rPr>
        <w:t>E. 6.3.2</w:t>
      </w:r>
    </w:p>
    <w:p>
      <w:r>
        <w:t>Il convient d'emblée de clarifier les éléments factuels établis. N._______ est notamment active dans le domaine des produits structurés. Elle n'est pas une banque; elle ne peut donc faire usage du forfait bancaire mais doit procéder à un décompte exact. N._______ réalise d'une part des opérations financières exclues du champ de l'impôt n'ouvrant pas droit à la déduction de l'impôt préalable, notamment l'émission et la distribution de ses propres produits structurés (marché primaire et secondaire) ainsi que l'activité de market maker pour les produits structurés d'une société soeur, à savoir W._______ (marché secondaire). D'autre part, N._______ fournit des prestations d'assistance et de conseil non exclues du champ de l'impôt ouvrant le droit à la déduction de l'impôt préalable dans le cadre de l'émission des produits structurés de W._______ (marché primaire; décision p. 9; recours p. 12). Autrement dit, N._______ supporte des charges et investissements grevés d'impôt préalable affectés aussi bien à la fourniture de prestations donnant droit à la récupération de l'impôt préalable qu'à la fourniture de prestations n'y donnant pas droit. Il convient donc de procéder à la réduction du droit à la déduction de l'impôt préalable conformément aux principes régissant la double affectation. L'essence du litige concerne la méthode de calcul de cette réduction.</w:t>
      </w:r>
    </w:p>
    <w:p>
      <w:r>
        <w:rPr>
          <w:b/>
        </w:rPr>
        <w:t>E. 6.3.3</w:t>
      </w:r>
    </w:p>
    <w:p>
      <w:r>
        <w:t>D'abord, force est de constater d'une part que l'AFC a instruit l'affaire plus avant conformément aux instructions du Tribunal. Elle a obtenu plusieurs pièces et détails factuels dans le pli fourni par N._______ le 7 octobre 2016 (pièce 14 jointe au recours). En outre, l'AFC a procédé à une visite sur place le 27 février 2017 (recours p. 7). De cette manière, l'AFC a éclairci les éléments considérés comme trop vagues dans l'arrêt A-4913/2013 cité consid. 5.3.3. Le Tribunal y avait notamment souligné la nécessité d'examiner les prestations effectuées, les raisons du partage de moitié du chiffre d'affaires entre W._______ et N._______ décidée dans le cadre des impôts directs, la similitude des prestations effectuées par le siège en son nom avec celles effectuées au nom de W._______ ainsi que l'équivalence des charges grevant ces deux types de prestations.</w:t>
      </w:r>
    </w:p>
    <w:p>
      <w:r>
        <w:rPr>
          <w:b/>
        </w:rPr>
        <w:t>E. 6.3.4</w:t>
      </w:r>
    </w:p>
    <w:p>
      <w:r>
        <w:t>Ensuite, le Tribunal note que N._______ propose une clé de réduction tenant compte du fait que le chiffre d'affaires non exclu réalisé à [étranger] (part de la commission d'émission des produits structurés de W._______) générerait deux fois plus de charges que le chiffre d'affaires identique réalisé à [canton] (commission d'émission), de sorte que le chiffre d'affaires imposable ([étranger]) devrait être multiplié par 1.5 (décision p. 9).</w:t>
      </w:r>
    </w:p>
    <w:p>
      <w:r>
        <w:rPr>
          <w:b/>
        </w:rPr>
        <w:t>E. 6.3.5</w:t>
      </w:r>
    </w:p>
    <w:p>
      <w:r>
        <w:t>Le Tribunal rappelle que l'assujetti a certes le choix de la méthode la plus appropriée, et dispose assurément d'une grande liberté dans son choix. La méthode doit toutefois aboutir à un résultat correct et objectif (consid. 4.2 ci-dessus). Ce n'est donc pas la méthode utilisée qui est déterminante, contrairement à ce que semblent soutenir les recourantes, mais bien le résultat issu de l'utilisation de celle-ci.</w:t>
      </w:r>
    </w:p>
    <w:p>
      <w:r>
        <w:rPr>
          <w:b/>
        </w:rPr>
        <w:t>E. 6.3.6</w:t>
      </w:r>
    </w:p>
    <w:p>
      <w:r>
        <w:t>Or, l'AFC a, après avoir procédé aux investigations requises (consid. 6.3.3), refusé la clé de répartition proposée et fixé l'impôt préalable au prorata des chiffres d'affaires (imposables et exclus) de N._______. L'AFC a refusé la proposition de cette dernière non seulement parce qu'elle a pu déterminer approximativement l'étendue de l'impôt préalable déductible pour les années 2009 à 2011. L'AFC s'est fondée sur les rapports sectoriels joints au courrier du 7 octobre 2016 ainsi que sur les informations collectées lors de la visite du 27 février 2017 auprès de N._______. L'AFC a isolé les charges grevées de TVA et tenu compte de la seule part afférente aux opérations imposables réalisées avec W._______. L'impôt préalable déductible est, selon ce calcul, de Fr. *** (61%; 2009), Fr. *** (72%; 2010) et Fr. *** (58%; 2011). Or, l'AFC souligne qu'elle a reconnu un impôt préalable déductible de Fr. *** (2009), Fr. *** (2010) respectivement Fr. *** (2011). En comparaison, selon la clé de répartition de N._______, les montants sont de Fr. *** (2009), Fr. *** (2010), respectivement Fr. *** (2011). Pour le surplus, l'AFC se fonde sur deux rulings de l'administration fiscale [cantonale] autorisant la répartition du bénéfice des opérations de W._______ à raison de 50% ([étranger]) - 50% ([canton]) (ruling du 22 février 2011), respectivement 54% ([étranger]) - 46% ([canton]) (ruling du 14 janvier 2015). Selon l'AFC, la répartition des bénéfices suit la réparation des charges de personnel. Aussi, la répartition des charges devrait suivre le même principe, de sorte que pour réaliser à [étranger] un chiffre d'affaires valant 50% de celui réalisé à [canton] (répartition de 50% des bénéfices de [étranger]), N._______ devrait consommer 50% des charges engendrées pour le chiffre d'affaires réalisé à [canton] (répartition de 50% des charges), l'autre moitié des charges devant être attribuées à [étranger] (décision p. 10). Dans de telles circonstances, le Tribunal ne peut que se rallier à l'avis de l'AFC, qui souligne que la proposition de N._______ s'écarte trop de la réalité, de sorte que la solution de la première est plus adéquate. La clé proposée par N._______ (multiplier par 1.5 le chiffre d'affaires imposable réalisée avec [étranger]) ne peut donc pas être retenue. En effet, le Tribunal relève d'abord part que la position de l'AFC est fondée sur une instruction étendue, comme l'avait ordonné le Tribunal. D'autre part, s'il est vrai que le Tribunal avait remarqué que la méthode proposée par les recourants dans la procédure A-4913/2013 cité consid. 5.3.3 n'était, "[d]e prime abord [...] pas sans fondement", il faut souligner que le Tribunal ne disposait pas des éléments factuels utiles pour juger de l'affaire. C'est d'ailleurs bien la raison qui a engendré le renvoi de l'affaire à l'AFC, chargée de compléter l'instruction. Ensuite, compte tenu des éléments de fait désormais disponibles, le Tribunal note que l'AFC dispose d'un moyen de remettre en cause la méthode de calcul des recourantes, considérée, en substance, comme conduisant à un résultat non correct et objectif, ce sur la base des charges grevées de TVA afférentes aux opérations réalisées avec W._______. Par ailleurs, l'AFC se fonde sur les pièces produites par les recourantes elles-mêmes, à savoir notamment les rulings fiscaux [cantonaux] relatifs aux impôts directs. Dès lors, l'AFC ne peut qu'être suivie en ce qu'elle a fixé l'impôt préalable au prorata des chiffres d'affaires (imposables et exclu) de N._______. Admettre, comme le demandent les recourantes, un droit à la récupération de l'impôt préalable plus important, conformément à la clé de répartition proposée par les recourantes, reviendrait donc à opérer une réduction de l'impôt préalable qui ne correspondrait pas à la mesure de l'utilisation effective selon l'application d'une méthode qui ne serait pas appropriée (consid. 4.2 ci-dessus).</w:t>
      </w:r>
    </w:p>
    <w:p>
      <w:r>
        <w:rPr>
          <w:b/>
        </w:rPr>
        <w:t>E. 6.3.7</w:t>
      </w:r>
    </w:p>
    <w:p>
      <w:r>
        <w:t>Les arguments des recourantes ne changent rien à ce qui précède. D'entrée de cause, il faut souligner que les arguments relatifs à l'activité d'intermédiaire de N._______ sont irrecevables (consid. 6.2.1 ci-dessus). A bien les comprendre, elles soutiennent que l'AFC adopterait une argumentation contradictoire, en ce sens que cette dernière aurait reconnu un impôt préalable déductible plus élevé que celui effectivement supporté. Le Tribunal peine à comprendre ce que les recourantes entendent tirer de cet argument. Tout au plus cette circonstance tend-t-elle à démontrer que l'AFC suit une approche plutôt favorable aux recourantes quant au montant de l'impôt préalable déductible. Au surplus, dans la mesure où l'AFC a pu isoler les charges grevées de TVA et tenu compte de la seule part afférente aux opérations donnant droit à la déduction de l'impôt préalable, le Tribunal ne voit pas en quoi la critique très abstraite du calcul de l'AFC pourrait leur être favorable. Par ailleurs, si l'AFC semble effectivement avoir initialement suggéré que les prestations fournies par N._______ ressortiraient à la négociation financière exclue du champ de l'impôt, qui n'ouvre aucun droit à la déduction de l'impôt préalable (voir courrier du 1er mars 2017 en pièce 15 jointe au recours), elle a ensuite visiblement nuancé sa position dans la décision attaquée, qui retient bien un droit - quoique réduit - à la déduction de l'impôt préalable. Ceci démontre bien que les recourantes ne peuvent être suivies lorsqu'elles soutiennent, en substance, que l'AFC n'aurait jamais tenté de se rapprocher de la charge préalable déductible effectivement supportée. De plus, les recourantes soutiennent que l'AFC n'a pas tenu compte dans la juste mesure du facteur risque supporté par W._______ lors de l'émission des produits structurés. Ainsi, elles remettent en cause les conclusions de l'AFC tirées des rulings fiscaux [cantonaux]. Toutefois, les recourantes n'exposent pas précisément et étayent encore moins la raison pour laquelle l'AFC, qui retient que le facteur risque suit la valeur des fonctions et a donc été fixé en fonction de la masse salariale, se serait méprise. Du reste, le ch. 4.2.1 du ruling du 14 janvier 2015 confirme les dires de l'AFC (voir annexe 14 de la pièce 14 du dossier de l'AFC). Finalement, les recourantes exposent nouvellement que l'AFC aurait à tort, selon elles, attribué les chiffres d'affaires perçus en tant que distribution fee aux prestations exonérées au sens impropre, au lieu de les soumettre à la clé de réduction de la déduction de l'impôt préalable. L'AFC soutient à ce titre principalement que les recourantes soumettent une conclusion nouvelle qui sort de l'objet de la contestation. Le Tribunal relève quoi qu'il en soit que les recourantes considèrent visiblement leur nouvel exposé comme étant une motivation nouvelle recevable (réplique p. 3 s.). Or, il faut rappeler que la position fondamentale des recourantes consiste à critiquer la clé de réduction de la déduction de l'impôt préalable. A ce titre, la raison pour laquelle la contestation de l'attribution des distribution fees aux prestations exonérées au sens impropre devrait influencer sur cette clé n'est ni évidente ni ne ressort du dossier. L'argument des recourantes est donc manifestement mal fondé.</w:t>
      </w:r>
    </w:p>
    <w:p>
      <w:r>
        <w:rPr>
          <w:b/>
        </w:rPr>
        <w:t>E. 6.3.8</w:t>
      </w:r>
    </w:p>
    <w:p>
      <w:r>
        <w:t>La contestation des recourantes relative à la méthode de calcul de la réduction de l'impôt préalable récupérable de N._______ doit dès lors être rejetée et la décision, confirmée.</w:t>
      </w:r>
    </w:p>
    <w:p>
      <w:r>
        <w:rPr>
          <w:b/>
        </w:rPr>
        <w:t>E. 7</w:t>
      </w:r>
    </w:p>
    <w:p>
      <w:r>
        <w:t>Les considérants qui précèdent conduisent le Tribunal à rejeter le recours, pour autant que recevable En conséquence, conformément à l'art. 63 al. 1 PA et aux art. 1 ss du règlement du 21 février 2008 concernant les frais, dépens et indemnités fixés par le Tribunal administratif fédéral (FITAF, RS 173.320.2), les frais de procédure, par Fr. 23'500.-, comprenant l'émolument judiciaire et les débours, sont mis à la charge des recourantes, qui succombent. Il convient d'imputer ce montant sur l'avance de frais du même montant déjà fournie. Par ailleurs, vu l'issue de la cause, il n'y pas lieu de procéder à l'allocation de dépens (art. 64 al. 1 PA a contrario, art. 7 al. 1 FITAF a contrario,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