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A-5225/2018 vom 7. Mai 2019</w:t>
      </w:r>
    </w:p>
    <w:p>
      <w:r>
        <w:t>Bundesverwaltungsgericht, 2019-05-07, DE</w:t>
      </w:r>
    </w:p>
    <w:p>
      <w:r>
        <w:rPr>
          <w:b/>
        </w:rPr>
        <w:t xml:space="preserve">Quelle: </w:t>
      </w:r>
      <w:r>
        <w:t>https://mcp.opencaselaw.ch/entscheid/bvger_A-5225_2018</w:t>
      </w:r>
    </w:p>
    <w:p>
      <w:r>
        <w:t>FR: TAF A-5225/2018 du 7 mai 2019</w:t>
      </w:r>
    </w:p>
    <w:p>
      <w:r>
        <w:t>IT: TAF A-5225/2018 del 7 maggio 2019</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Bst. h VGG, die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als beschwerte Verfügungsadressatin ein schutzwürdiges Interesse an der Aufhebung des vorinstanzlichen Entscheids und ist somit zur Erhebung der vorliegenden Beschwerde berechtigt (Art. 48 Abs. 1 VwVG). Auf die frist- und formgerecht eingereichte Beschwerde (Art. 50 Abs. 1 und Art. 52 Abs. 1 VwVG) ist demnach einzutreten.</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statt vieler Häfelin et al., Allgemeines Verwaltungsrecht, 7. Aufl. 2016, Rz. 1146-1148). Gemäss dem Grundsatz der Rechtsanwendung von Amtes wegen ist das Bundesverwaltungsgericht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statt vieler: BGE 128 II 145 E. 1.2.2 und Urteil des BVGer A-91/2018 vom 6. Februar 2019 E. 2). 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A-91/2018 vom 6. Februar 2019 E. 2 mit Hinweisen).</w:t>
      </w:r>
    </w:p>
    <w:p>
      <w:r>
        <w:rPr>
          <w:b/>
        </w:rPr>
        <w:t>E. 3</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 wie vorliegend - um eine von ihr in Betreibung gesetzte Forderung geht (BGE 134 III 115 E. 3.2 und E. 4.1.2 und statt vieler Urteil des BVGer A-91/2018 vom 6. Februar 2019 E. 3.1 mit Hinweisen sowie Jolanta Kren Kostkiewicz, in: SchKG-Kommentar, 19. Aufl. 2016, Art. 79 Rz. 11 und zur anders gelagerten Konstellation statt vieler Urteil des A-91/2018 vom 6. Februar 2019 E. 3.2 mit Hinweisen).</w:t>
      </w:r>
    </w:p>
    <w:p>
      <w:r>
        <w:rPr>
          <w:b/>
        </w:rPr>
        <w:t>E. 4.1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 Arbeitnehmende, die das 17. Altersjahr überschritten haben, unterstanden - soweit hier interessierend - bei Erreichen eines Jahreslohns von mindestens Fr. 21'150.- für die Jahre 2016 und 2017 der obligatorischen Versicherung (vgl. Art. 2 Abs. 1, Art. 7 Abs. 1 und Art. 9 BVG i.V.m. Art. 5 der Verordnung vom 18. April 1984 über die berufliche Alters-, Hinterlassenen und Invalidenvorsorge [BVV 2] in der in dieser Zeitspanne gültig gewesenen Fassung [AS 2014 3343]).</w:t>
      </w:r>
    </w:p>
    <w:p>
      <w:r>
        <w:rPr>
          <w:b/>
        </w:rPr>
        <w:t>E. 4.2</w:t>
      </w:r>
    </w:p>
    <w:p>
      <w:r>
        <w:t>Für die Berechnung der Beiträge an die berufliche Vorsorge ist - analog zur Versicherungsunterstellung (vgl. Art. 7 Abs. 2 BVG) - der nach dem AHVG massgebende Lohn heranzuziehen (vgl. statt vieler Urteil des BVGer A-91/2018 vom 6. Februar 2019 E. 4.1.2 mit Hinweisen). Zu versichern ist nur ein bestimmter, als sog. koordinierter Lohn bezeichneter Teil des jeweiligen Jahreslohnes (vgl. Art. 8 Abs. 1 BVG in Verbindung mit Art. 5 BVV in der einschlägigen Fassung [AS 2014 3343]).</w:t>
      </w:r>
    </w:p>
    <w:p>
      <w:r>
        <w:rPr>
          <w:b/>
        </w:rPr>
        <w:t>E. 4.2.1</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im Folgenden: VOAA) hat der Arbeitgeber der Auffangeinrichtung die Beiträge für alle dem BVG unterstellten Arbeitnehmenden von dem Zeitpunkt an zu entrichten, von dem an er bei einer Vorsorgeeinrichtung hätte angeschlossen sein müssen. 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dem im Zeitpunkt des Erlasses der angefochtenen Verfügung gültigen Kostenreglement der Auffangeinrichtung zur Deckung von ausserordentlichen administrativen Umtrieben, das Bestandteil der vorliegend massgebenden Anschlussbedingungen bildet, können insbesondere für eine eingeschriebene (Inkasso-)Mahnung Fr. 50.-, für die Einleitung einer Betreibung Fr. 100.- und für die Erstellung eines Tilgungsplans mindestens Fr. 100.- eingefordert werden. Voraussetzung für die Rechtmässigkeit dieser Gebührenforderungen ist praxisgemäss, dass die damit abgegoltenen Verwaltungsmassnahmen effektiv und zu Recht erfolgt sind (statt vieler: Urteil des BVGer A-91/2018 vom 6. Februar 2019 E. 4.3 mit Hinweis).</w:t>
      </w:r>
    </w:p>
    <w:p>
      <w:r>
        <w:rPr>
          <w:b/>
        </w:rPr>
        <w:t>E. 5</w:t>
      </w:r>
    </w:p>
    <w:p>
      <w:r>
        <w:t>Die Beschwerdeführerin bestreitet prinzipiell ihre gesetzliche Beitragsverpflichtung mit Bezug auf die in diesem Zeitraum angestellten und obligatorisch zu versichernden Arbeitnehmenden nicht. Die vorinstanzliche Berechnung der für die genannte Zeitspanne geforderten Beiträge liegt der angefochtenen Verfügung bei und wird mitsamt den für das jeweilige Jahr herangezogenen Beitragssätzen detailliert ausgewiesen. Hingegen rügt die Beschwerdeführerin eine unvollständige Sachverhaltsfeststellung und fehlerhafte Rechtsanwendung seitens der Vorinstanz, indem sie geltend macht, die ihrerseits der zuständigen Ausgleichskasse und der Vorinstanz gemeldeten vereinbarten Löhne seien effektiv nur im Umfang von etwa 20 % ausbezahlt worden - was sie mit diversen Bankauszügen belegt -, während der restliche Teil aufgrund ihrer finanziellen Lage nach Absprache mit den betroffenen Arbeitnehmenden auf "Kreditor Personal" gebucht worden sei und zu einem späteren Zeitpunkt, sobald die eingeleiteten Sanierungsmassnahmen Erfolg zeitigten und die notwendige Liquidität wieder vorhanden sei, ausbezahlt werde. Angesichts dessen sei bei der Berechnung der Beiträge auf die effektiven und nicht wie in der angefochtenen Verfügung und eingeleiteten Betreibung auf die vereinbarten Lohnzahlungen abzustellen und Erstere seien daher erheblich nach unten zu korrigieren.</w:t>
      </w:r>
    </w:p>
    <w:p>
      <w:r>
        <w:rPr>
          <w:b/>
        </w:rPr>
        <w:t>E. 5.1</w:t>
      </w:r>
    </w:p>
    <w:p>
      <w:r>
        <w:t>Dabei stützt sich die Beschwerdeführerin auf die bundesgerichtliche Rechtsprechung zur Bestimmung des versicherten Lohnes bei Leistungsfällen im Rahmen der beruflichen Vorsorge. Demnach stellt das Bundesgericht in Anlehnung an die Rechtsprechung zur Ermittlung des versicherten Verdienstes in der Arbeitslosenversicherung nicht unbesehen auf die arbeitsvertraglich festgelegten Löhne ab, um zu verhindern, dass missbräuchlich fiktive Löhne vereinbart werden, welche effektiv nicht zur Auszahlung gelangen. Vielmehr geht es dabei grundsätzlich von den tatsächlichen Lohnbezügen, welche seitens der versicherten Person nachzuweisen sind, und nicht von (höheren) vertraglichen Abmachungen aus. Einzelfallweise könne von dieser Regelung abgewichen und auf den vertraglich festgesetzten Lohn abgestellt werden, sofern ein Missbrauch im Sinne der Vereinbarung fiktiver Löhne praktisch ausgeschlossen werden könne, so beispielsweise, wenn der vereinbarte Lohn in einem langdauernden Arbeitsverhältnis nie bestritten war (Urteil des BGer B 67/06 vom 9. Mai 2007 E. 3 mit Hinweisen und BGE 128 V 189 E. 3a/aa).</w:t>
      </w:r>
    </w:p>
    <w:p>
      <w:r>
        <w:rPr>
          <w:b/>
        </w:rPr>
        <w:t>E. 5.2.1</w:t>
      </w:r>
    </w:p>
    <w:p>
      <w:r>
        <w:t>Art. 8 BVG betreffend den im Rahmen der beruflichen Vorsorge zu versichernden Lohn (vgl. dazu vorne E. 4.2) gehört zu denjenigen Bestimmungen, mit welchen die lückenlose obligatorische Vorsorge gesichert werden soll. Demnach darf der versicherte Lohn in der beruflichen Vorsorge nicht höher sein als der beitragspflichtige AHV-Lohn bei Arbeitnehmenden bzw. das beitragspflichtige AHV-Einkommen aus selbständiger Erwerbstätigkeit. Zweck dieser Einschränkung ist die Bekämpfung von Missbräuchen, die in erster Linie bei freiwillig versicherten Selbständigerwerbenden möglich sind. Konkret soll verhindert werden, dass Selbständigerwerbende in der AHV ein möglichst tiefes Einkommen generieren, um in den Genuss der sinkenden Beitragsskala nach Art. 8 Abs. 1 AHVG zu kommen und in der beruflichen Vorsorge steueroptimierend deutlich höhere Einkommen versichern zu können (Jürg Brechbühl in: Handkommentar zum BVG, 2010, Art. 8 Rz. 19 mit Hinweisen). Ein derartiges Missbrauchsrisiko ist in der vorliegenden Sachverhaltskonstellation nicht ersichtlich (vgl. auch nachfolgende E. 5.3).</w:t>
      </w:r>
    </w:p>
    <w:p>
      <w:r>
        <w:rPr>
          <w:b/>
        </w:rPr>
        <w:t>E. 5.2.2</w:t>
      </w:r>
    </w:p>
    <w:p>
      <w:r>
        <w:t>Im Übrigen bleibt die Abweichung in Art. 8 Abs. 3 BVG vorbehalten, wonach der bisherige koordinierte Lohn bei vorübergehender Reduktion des Jahreslohns wegen Krankheit, Unfall, Arbeitslosigkeit, Mutterschaftoder aus ähnlichen Gründen mindestens solange Gültigkeit behält, als die Lohnfortzahlungspflicht des Arbeitgebers nach Art. 324a des Obligationenrechts (OR, SR 220) bestehen würde oder ein Mutterschaftsurlaub nach Art. 329f OR dauert. Die versicherte Person kann jedoch die Herabsetzung des koordinierten Lohnes verlangen. In der Praxis wird der bisherige koordinierte Lohn gestützt auf reglementarische Bestimmungen auch in zahlreichen weiteren Fällen und auch ohne Bezug zu einer Lohnfortzahlungspflicht des Arbeitgebers beibehalten, so z.B. bei befristeter Reduktion des Beschäftigungsgrads zu Ausbildungszwecken. Derartige Höherversicherungen sind zulässig, sofern sie vorübergehender Natur sind (Brechbühl, a.a.O., Art. 8 Rz. 29). Das Bundesamt für Sozialversicherungen (BSV) spricht in diesem Zusammenhang von zwei Jahren (Mitteilungen über die berufliche Vorsorge Nr. 110 vom 15. Januar 2009, Rz. 677, S. 5 f.). Gesetzlich zulässig sind somit vorübergehende Höherversicherungen aus Gründen, welche in der versicherten Person liegen. Diesfalls wird trotz effektiver Reduktion auf den bislang vereinbarten Jahreslohn abgestellt. Im Sinne eines umfassenden Versicherungsschutzes muss dies umso mehr gelten bei effektiv tieferen Lohnzahlungen, deren Gründe bei der Arbeitgeberin liegen.</w:t>
      </w:r>
    </w:p>
    <w:p>
      <w:r>
        <w:rPr>
          <w:b/>
        </w:rPr>
        <w:t>E. 5.3</w:t>
      </w:r>
    </w:p>
    <w:p>
      <w:r>
        <w:t>Selbst wenn die vorgenannte bundesgerichtliche Rechtsprechung (vgl. vorne E. 5.1) entgegen der Ansicht der Vorinstanz auf die vorliegend strittige Frage der Beitragshöhe bzw. nach einer allenfalls tieferen Beitragspflicht grundsätzlich Anwendung fände, so wäre auch aus nachfolgenden Gründen dennoch auf diejenigen Lohnzahlungen abzustellen, auf welche die betroffenen Arbeitnehmenden während der fraglichen Zeitspanne vertraglich Anspruch hatten, ohne Rücksicht darauf, welche Beträge tatsächlich bezahlt wurden. So hielt nämlich das Bundesgericht im Rahmen vorgenannter Rechtsprechung fest, dass bei einem langandauernden Arbeitsverhältnis, bei welchem der vereinbarte Lohn nie bestritten war und lediglich wegen Zahlungsunfähigkeit der Arbeitgeberin zuletzt nicht mehr zur Auszahlung kam, angenommen werden kann, dass der vertraglich festgesetzte und nicht der tatsächlich bezahlte Lohn dem versicherten Verdienst i.S.v. Art. 23 Abs. 1 des Arbeitslosenversicherungsgesetzes vom 25. Juni 1982 (AVIG, SR 837.0) entspreche (Urteil des BGer 11/01 vom 4. April 2002 E. 4c mit Hinweisen). Ähnlich verhält es sich in vorliegender Konstellation: Ein Missbrauchspotential aufgrund eines simulierten Rechtsgeschäfts ist nicht ersichtlich. Die vereinbarten Löhne wurden unbestrittenermassen regelmässig bis zum 1. Quartal 2017 ausbezahlt und die entsprechenden Beiträge an die Vor-instanz entrichtet. Danach kam es gemäss eigener Schilderung der Beschwerdeführerin einzig aufgrund ihrer Liquiditätsprobleme zu Teilzahlungen. Sie geht nach wie vor davon aus, den vereinbarten Lohn zu schulden und zu einem späteren Zeitpunkt zu bezahlen. Deshalb hat sie die gestundeten Lohnbestandteile als Personalkreditoren verbucht (vgl. vorne E. 5) und weder der zuständigen Ausgleichskasse noch der Vorinstanz Lohnmutationen gemeldet. Im Übrigen hat die Beschwerdeführerin die Höhe der per 20. Juli 2017 ausstehenden Beiträge unterschriftlich anerkannt (vgl. die Schuldanerkennung vom 30. Juli 2017 vorne Sachverhalt Bst. A.d, welche als Beweismittel gilt [Art. 82 Abs. 1 SchKG sowie Urteil des BGer 9C_488/2018 vom 18. Januar 2019 E. 3.1.2 mit Hinweis). Bei dieser Sachlage rechtfertigt es sich - nicht zuletzt unter dem Aspekt eines umfassenden Versicherungsschutzes (vgl. dazu vorne E. 5.2) - den für die Beitragserhebung massgeblichen Lohn (vgl. dazu vorne E. 4.2) auf der Basis arbeitsvertraglich geregelter Lohnhöhen zu bestimmen, auch wenn diese im fraglichen Zeitraum nicht vollständig zur Auszahlung gelangten.</w:t>
      </w:r>
    </w:p>
    <w:p>
      <w:r>
        <w:rPr>
          <w:b/>
        </w:rPr>
        <w:t>E. 5.4</w:t>
      </w:r>
    </w:p>
    <w:p>
      <w:r>
        <w:t>Nach der Rechtsauffassung des Bundesverwaltungsgerichts sind die Beiträge somit gestützt auf die vereinbarten und gemeldeten und nicht auf die im fraglichen Zeitraum erfolgten effektiven Lohnzahlungen zu ermitteln. Hinzu kommt, dass die Beschwerdeführerin den geschuldeten Gesamtbetrag ohnehin schriftlich anerkannt hat. Es ist nicht davon auszugehen, dass die seitens der Beschwerdeführerin offerierte Partei- und Zeugenbefragung an diesem Ergebnis etwas ändert, weshalb in antizipierter Beweiswürdigung mangels entscheidrelevantem Erkenntnisgewinn darauf verzichtet werden kann (vgl. statt vieler zur antizipierten Beweiswürdigung BGE 131 I 153 E. 3 und Urteil des BVGer A 1029/2018 vom 18. April 2019 E. 1.5.2 i.f. mit Hinweisen und E. 2.2.). Unter diesen Umständen sind der von der Vorinstanz verfügte und in Betreibung gesetzte Betrag sowie die Aufhebung des Rechtsvorschlags im entsprechenden Umfang nicht zu beanstanden und ist die Beschwerde abzuweisen.</w:t>
      </w:r>
    </w:p>
    <w:p>
      <w:r>
        <w:rPr>
          <w:b/>
        </w:rPr>
        <w:t>E. 6</w:t>
      </w:r>
    </w:p>
    <w:p>
      <w:r>
        <w:t>Ausgangsgemäss hat die Beschwerdeführerin die Verfahrenskosten zu tragen (vgl. Art. 63 Abs. 1 VwVG). Diese sind auf Fr. 800.- festzusetzen (vgl. Art. 2 Abs. 1 i.V.m. Art. 4 des Reglements vom 21. Februar 2008 über die Kosten und Entschädigungen vor dem Bundesverwaltungsgericht [VGKE; SR 173.320.2]). Weder der unterliegenden, anwaltlich vertretenen Beschwerdeführerin noch der Vorinstanz ist eine Parteientschädigung zuzusprechen (Art. 64 Abs. 1 VwVG i.V.m.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