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A-5225/2015 vom 12. April 2017</w:t>
      </w:r>
    </w:p>
    <w:p>
      <w:r>
        <w:t>Bundesverwaltungsgericht, 2017-04-12, DE</w:t>
      </w:r>
    </w:p>
    <w:p>
      <w:r>
        <w:rPr>
          <w:b/>
        </w:rPr>
        <w:t xml:space="preserve">Quelle: </w:t>
      </w:r>
      <w:r>
        <w:t>https://mcp.opencaselaw.ch/entscheid/bvger_A-5225_2015</w:t>
      </w:r>
    </w:p>
    <w:p>
      <w:r>
        <w:t>FR: TAF A-5225/2015 du 12 avril 2017</w:t>
      </w:r>
    </w:p>
    <w:p>
      <w:r>
        <w:t>IT: TAF A-5225/2015 del 12 aprile 2017</w:t>
      </w:r>
    </w:p>
    <w:p>
      <w:pPr>
        <w:pStyle w:val="Heading2"/>
      </w:pPr>
      <w:r>
        <w:t>Regeste</w:t>
      </w:r>
    </w:p>
    <w:p>
      <w:r>
        <w:t>Datenschutz</w:t>
      </w:r>
    </w:p>
    <w:p>
      <w:pPr>
        <w:pStyle w:val="Heading2"/>
      </w:pPr>
      <w:r>
        <w:t>Erwägungen</w:t>
      </w:r>
    </w:p>
    <w:p>
      <w:r>
        <w:rPr>
          <w:b/>
        </w:rPr>
        <w:t>E. 1.1</w:t>
      </w:r>
    </w:p>
    <w:p>
      <w:r>
        <w:t>Das Bundesverwaltungsgericht beurteilt nach Art. 35 Bst. b VGG als erste Instanz Klagen betreffend Streitigkeiten über Empfehlungen des EDÖB im Privatrechtsbereich. Bei der vorliegenden Klage handelt es sich um eine solche Klage. Das Bundesverwaltungsgericht ist demnach - vorbehältlich der Nichtanwendbarkeit des DSG (vgl. David Rosenthal, in: Handkommentar zum DSG, Zürich 2008, N. 7 und 43 zu Art. 29 DSG; zur Anwendbarkeit des DSG vgl. E. 1.2.1) - für deren Beurteilung zuständig. Das Verfahren richtet sich gemäss Art. 44 Abs. 1 VGG nach den Art. 3-73 und 79-85 BZP, die sinngemäss zur Anwendung kommen (vgl. Moser/ Beusch/Kneubühler, Prozessieren vor dem Bundesverwaltungsgericht, 2. Aufl. 2013, Rz. 5.7). Abweichend von Art. 3 Abs. 2 BZP, wonach der Richter sein Urteil nur auf Tatsachen gründen darf, die im Verfahren geltend gemacht worden sind, gilt jedoch der Grundsatz der Sachverhaltsabklärung von Amtes wegen (vgl. Art. 44 Abs. 2 VGG). Die Gerichtsgebühren und die Parteientschädigung wiederum richten sich nach den Art. 63-65 VwVG (vgl. Art. 44 Abs. 3 VGG).</w:t>
      </w:r>
    </w:p>
    <w:p>
      <w:r>
        <w:rPr>
          <w:b/>
        </w:rPr>
        <w:t>E. 1.2</w:t>
      </w:r>
    </w:p>
    <w:p>
      <w:r>
        <w:t>Nach Art. 29 Abs. 4 DSG kann der EDÖB die Angelegenheit dem Bundesverwaltungsgericht zum Entscheid vorlegen, wenn seine Empfehlung nicht befolgt oder abgelehnt wird. Passivlegitimiert können jene Datenbearbeiter sein, die formell und materiell Adressat der umstrittenen Empfehlung sind und diese nicht befolgen oder ablehnen (vgl. Urteil des BVGer A-7040/2009 vom 30. März 2011 [nachfolgend: Urteil des BVGer A-7040/2009] E. 4.3.1; Rosenthal, a.a.O., N. 42 zu Art. 29 DSG). Die Legitimation der Parteien wird - anders als im Zivilprozess - als subjektive Prozessvoraussetzung betrachtet, bei deren Fehlen ein Nichteintretensentscheid zu fällen ist (vgl. Urteil des BVGer A-7040/2009 E. 4.3.1; Rosenthal, a.a.O., N. 42 zu Art. 29 DSG).</w:t>
      </w:r>
    </w:p>
    <w:p>
      <w:r>
        <w:rPr>
          <w:b/>
        </w:rPr>
        <w:t>E. 1.2.1</w:t>
      </w:r>
    </w:p>
    <w:p>
      <w:r>
        <w:t>Die Aktivlegitimation des Klägers setzt angesichts des internationalen Bezugs des vorliegenden Sachverhalts zunächst voraus, dass das DSG überhaupt zur Anwendung kommt und der Kläger grundsätzlich zuständig war, den Sachverhalt auf seine Konformität mit dem DSG zu überprüfen und eine Empfehlung abzugeben. Dies ist zu bejahen. Da die Beklagte ihren Sitz in der Schweiz hat und hier Personendaten bearbeitet (vgl. E. 4.3.1 f.), kommen die Vorschriften des DSG mit öffentlich-rechtlichem Charakter, also auch Art. 29 DSG, aufgrund des Territorialitätsprinzips zur Anwendung (vgl. BGE 138 II 346 E. 3.2; Urteil des BVGer A-7040/2009 E. 5.4.1; Rosenthal, a.a.O., N. 6 zu Art. 29 DSG). Da jene in Deutschland wohnhaften betroffenen Personen, die sich an den Kläger wandten, von diesem verlangten, er möge sich der Angelegenheit annehmen, kommen weiter die Vorschriften des DSG mit privatrechtlichem Charakter selbst nach der einschränkenden Ansicht von Rosenthal (vgl. Rosenthal, a.a.O., N. 7 zu Art. 29 DSG) auch dann zur Anwendung, wenn es sich vorliegend um einen internationalen Sachverhalt im Sinne des Bundesgesetzes vom 18. Dezember 1987 über das Internationale Privatrecht (IPRG, SR 291) handelte (vgl. Urteil des BVGer A-7040/2009 E. 5.5 und 5.5.1 ff.). Die Aktivlegitimation des Klägers setzt weiter voraus, dass dieser nach Art. 29 Abs. 1-3 DSG zum Erlass der Empfehlung vom 17. September 2014 (vgl. Bst. C.b) befugt war. Auch dies trifft zu. Zum einen ist davon auszugehen (vgl. E. 4.3.1 f.), es liege ein Systemfehler im Sinne von Art. 29 Abs. 1 Bst. a DSG vor, der den Kläger zu näherer Abklärung des vorliegenden Sachverhalts und zum Erlass der Empfehlung berechtigte. Zum anderen ist davon auszugehen (vgl. E. 5.2), die Beklagte sei nach Art. 11a DSG zur Registrierung (mindestens) einer Datensammlung verpflichtet, weshalb der Kläger auch aus diesem Grund (vgl. Art. 29 Abs. 1 Bst. b DSG) zu näherer Abklärung des Sachverhalts und zum Erlass der Empfehlung befugt war. Die Aktivlegitimation des Klägers setzt schliesslich, wie erwähnt, voraus, dass dessen Empfehlung von der Beklagten nicht befolgt oder abgelehnt wurde bzw. wird (vgl. Art. 29 Abs. 4 DSG). Dies ist der Fall. Zwar erklärt die Beklagte in ihrer Faxeingabe vom 5. Januar 2016 (vgl. Bst. I), sie nehme die Empfehlung vollumfänglich an. Dass sie diese umgesetzt hätte, ist indes nicht ersichtlich (vgl. E. 4.3.2). Die Aktivlegitimation des Klägers ist demnach zu bejahen.</w:t>
      </w:r>
    </w:p>
    <w:p>
      <w:r>
        <w:rPr>
          <w:b/>
        </w:rPr>
        <w:t>E. 1.2.2</w:t>
      </w:r>
    </w:p>
    <w:p>
      <w:r>
        <w:t>Die Beklagte ist formelle und materielle Adressatin der Empfehlung des Klägers vom 17. September 2014. Sie hat diese zudem, wie erwähnt, bislang nicht umgesetzt. Sie ist demnach passivlegitimiert.</w:t>
      </w:r>
    </w:p>
    <w:p>
      <w:r>
        <w:rPr>
          <w:b/>
        </w:rPr>
        <w:t>E. 1.3</w:t>
      </w:r>
    </w:p>
    <w:p>
      <w:r>
        <w:t>Die Klage ist an keine bestimmte Frist gebunden und wurde vom Kläger nicht ungebührlich hinausgezögert (vgl. René Huber, in: Basler Kommentar DSG/BGÖ, 3. Aufl. 2014, N. 34 und 34a zu Art. 29 DSG). Sie genügt ausserdem den Formerfordernissen (vgl. Art. 23 BZP). Grundsätzlich ist demnach auf sie einzutreten. Nachfolgend zu klären bleibt, in welchem Umfang ein Eintreten möglich ist bzw. was Streitgegenstand des vorliegenden Verfahrens bildet.</w:t>
      </w:r>
    </w:p>
    <w:p>
      <w:r>
        <w:rPr>
          <w:b/>
        </w:rPr>
        <w:t>E. 2.1</w:t>
      </w:r>
    </w:p>
    <w:p>
      <w:r>
        <w:t>Gemäss Art. 3 Abs. 2 BZP darf der Richter über die Rechtsbegehren der Parteien nicht hinausgehen. Diese Regelung findet aufgrund des Verweises von Art. 44 Abs. 1 VGG (vgl. E. 1.1) auch in Klageverfahren betreffend Empfehlungen des EDÖB Anwendung. Auch in solchen Verfahren gilt demnach - entgegen der Ansicht von Schweizer/Glutz von Blotzheim (vgl. Schweizer/Glutz von Blotzheim, Wie die Empfehlungen des Eidgenössischen Datenschutz- und Öffentlichkeitsbeauftragten gegenüber privaten Datenbearbeitern umgesetzt werden, Jusletter vom 21. Februar 2011, Rz. 11 ff.) - die Dispositionsmaxime (vgl. Urteil des BVGer A-7040/2009 E. 2.2 f.). Der Streitgegenstand wird in solchen Verfahren deshalb ausschliesslich durch die gestellten Rechtsbegehren (und allenfalls die entsprechende Begründung) definiert, weshalb einer Partei nicht mehr oder nichts anderes zugesprochen werden darf, als sie beantragt (vgl. BVGE 2008/16 E. 2.2; Urteil des BVGer A-7040/2009 E. 2.2; Moser/ Beusch/Kneubühler, a.a.O., Rz. 5.14). Nach Art. 26 Abs. 1 BZP - der vom Verweis von Art. 44 Abs. 1 VGG mit umfasst ist und damit in Klageverfahren wie dem vorliegenden ebenfalls Anwendung findet - kann das Rechtsbegehren in der Weise geändert werden, dass ein anderer oder weiterer Anspruch erhoben wird, der mit dem bisher geltend gemachten im Zusammenhang steht (Klageänderung). Der erforderliche Zusammenhang ist zu bejahen, wenn aus dem bestehenden tatsächlichen Klagefundament ein anderer oder weiter gehender Rechtsschluss gezogen wird (vgl. Philipp Gelzer, Prozessieren vor Bundesgericht, 4. Aufl. 2014, Rz. 7.27). Gemäss Rosenthal kann der EDÖB im Klageverfahren vor Bundesverwaltungsgericht nur Massnahmen verlangen, die inhaltlich nicht über die von ihm empfohlenen Massnahmen hinausgehen. In diesem Rahmen darf er die von ihm begehrten Massnahmen aber konkreter formulieren und genauer umschreiben, um die Vollstreckbarkeit sicherzustellen. Er kann vom Gericht zudem die Androhung von Vollstreckungsmassnahmen wie zum Beispiel die Ungehorsamsstrafe nach Art. 292 StGB verlangen (vgl. zum Ganzen Rosenthal, a.a.O., N. 46 zu Art. 29 DSG).</w:t>
      </w:r>
    </w:p>
    <w:p>
      <w:r>
        <w:rPr>
          <w:b/>
        </w:rPr>
        <w:t>E. 2.2</w:t>
      </w:r>
    </w:p>
    <w:p>
      <w:r>
        <w:t>Die Rechtsbegehren 1-3 der Klage vom 27. August 2015 (vgl. Bst. E.a; Rechtsbegehren 4 betrifft die Kosten- und Entschädigungsfolge im vorliegenden Verfahren) stimmen inhaltlich mit den drei Empfehlungen des Klägers vom 17. September 2014 (vgl. Bst. C.b) überein, gehen über diese also nicht hinaus. In der Stellungnahme des Klägers vom 5. Februar 2016 (vgl. Bst. J.b) wird das ursprüngliche Begehren 1 (neu 1a) um das Begehren 1b ergänzt, wonach die Beklagte zu verpflichten sei, dem Kläger die für die Umsetzung des Begehrens 1a notwendigen technischen und organisatorischen Massnahmen vorzulegen. Dieses neue Begehren dient weder der konkreteren Formulierung noch der genaueren Umschreibung der mit Begehren 1a beantragten Verpflichtung der Beklagten. Mit der Verpflichtung zur Vorlage der erwähnten Massnahmen soll dieser vielmehr eine neue und zusätzliche Verpflichtung auferlegt werden. Das Begehren 1b geht somit über das hinaus, was in Klageverfahren betreffend Empfehlungen des EDÖB beantragt werden darf. Es steht denn auch im Wesentlichen im Zusammenhang mit der Frage, unter welchen Voraussetzungen für den Kläger angesichts der Erklärung der Beklagten in der Faxeingabe vom 5. Januar 2016, sie nehme seine Empfehlungen an, eine vergleichsweise Erledigung des vorliegenden Klageverfahrens in Frage käme (vgl. Bst. J.b). Da das Begehren den Streitgegenstand in unzulässiger Weise ausweitet, kann nicht darauf eingetreten werden. Auf die Frage, ob es genügend präzis formuliert ist und nach Art. 26 BZP zulässig wäre, braucht daher nicht eingegangen zu werden. In der erwähnten Stellungnahme des Klägers werden im Weiteren die Begehren 1a und 2 in zulässiger Weise präzisiert, indem klargestellt wird, dass sie sich auch auf die pendenten Auskunftsbegehren bzw. Sperr- und Löschungsbegehren beziehen. Ausserdem werden die Begehren 1a und 2 jeweils um den Antrag ergänzt, es sei die Ungehorsamsstrafe nach Art. 292 StGB anzudrohen. Dies ist, wie ausgeführt, ebenfalls zulässig. Der Streitgegenstand des vorliegenden Verfahrens wird somit durch die Begehren 1a, 2 und 3 in der Stellungnahme des Klägers vom 5. Februar 2016 definiert.</w:t>
      </w:r>
    </w:p>
    <w:p>
      <w:r>
        <w:rPr>
          <w:b/>
        </w:rPr>
        <w:t>E. 3</w:t>
      </w:r>
    </w:p>
    <w:p>
      <w:r>
        <w:t>Wie dargelegt, äusserte sich die Beklagte einzig in ihrer nach Ablauf der Frist zur Einreichung der Klageantwort eingegangenen Faxeingabe vom 5. Januar 2016 (vgl. Bst. I) zur vorliegenden Angelegenheit und erschien sie unentschuldigt weder zur Vorbereitungsverhandlung vom 7. Juni 2016 noch zur Hauptverhandlung vom 6. September 2016. Hinsichtlich der unentschuldigten Nichtteilnahme an den beiden Verhandlungen und des Verpassens der Frist zur Einreichung der Klageantwort greifen die vorgängig angedrohten gesetzlichen Säumnisfolgen (vgl. Bst. F, L und P). Bezüglich der ausgebliebenen freigestellten Stellungnahmen ist davon auszugehen, die Beklagte habe auf diese verzichtet. Über die Klage kann somit ungeachtet der Versäumnisse der Beklagten aufgrund der Akten entschieden werden. Daran ändert nichts, dass im vorliegenden Klageverfahren der Grundsatz der Sachverhaltsabklärung von Amtes wegen gilt (vgl. E. 1.1). Wegen der Geltung dieses Grundsatzes müssen grundsätzlich alle entscheidrelevanten Eingaben, Unterlagen und protokollierten mündlichen Vorbringen berücksichtigt werden, also etwa auch die Faxeingabe der Beklagten. Aus diesen Akten geht der entscheidrelevante Sachverhalt in rechtsgenüglicher Weise hervor (vgl. E. 4.3.1 f. und 5.2), weshalb von vornherein keine ergänzenden Sachverhaltsabklärungen vorzunehmen sind. Nachfolgend ist somit zu prüfen, ob die Klage, soweit sie zulässig ist (vgl. E. 2.2), angesichts des Sachverhalts, wie er sich aus den Akten ergibt, begründet ist.</w:t>
      </w:r>
    </w:p>
    <w:p>
      <w:r>
        <w:rPr>
          <w:b/>
        </w:rPr>
        <w:t>E. 4.1</w:t>
      </w:r>
    </w:p>
    <w:p>
      <w:r>
        <w:t>Gemäss Art. 8 DSG kann jede Person vom Inhaber einer Datensammlung Auskunft darüber verlangen, ob Daten über sie bearbeitet werden (Abs. 1; zu den Begriffen "Daten" bzw. "Personendaten", "bearbeiten", "Datensammlung" und "Inhaber einer Datensammlung" sowie zum Begriff "bekannt geben" vgl. Art. 3 Bst. a, e, f, g und i DSG). Der Inhaber der Datensammlung muss der betroffenen Person (zum Begriff vgl. Art. 3 Bst. b DSG) alle über sie in der Datensammlung vorhandenen Daten einschliesslich der verfügbaren Angaben über die Herkunft der Daten mitteilen, ausserdem den Zweck und gegebenenfalls die Rechtsgrundlagen des Bearbeitens sowie die Kategorien der bearbeiteten Personendaten, der an der Sammlung Beteiligten und der Datenempfänger (Abs. 2). Lässt er Personendaten durch einen Dritten bearbeiten, bleibt er auskunftspflichtig (Abs. 3). Die Auskunft ist in der Regel schriftlich, in der Form eines Ausdrucks oder einer Fotokopie sowie kostenlos zu erteilen (Abs. 4), ausserdem in der Regel innert 30 Tagen seit Eingang des Auskunftsbegehrens (vgl. Art. 1 Abs. 4 der Verordnung vom 14. Juni 1993 zum Bundesgesetz über den Datenschutz [VDSG, SR 235.11]). Sie kann vom privaten Inhaber einer Datensammlung unter Angabe des Grundes (vgl. Art. 9 Abs. 5 DSG) aus den in Art. 9 Abs. 1 und 4 DSG genannten Gründen verweigert, eingeschränkt oder aufgeschoben werden.</w:t>
      </w:r>
    </w:p>
    <w:p>
      <w:r>
        <w:rPr>
          <w:b/>
        </w:rPr>
        <w:t>E. 4.2</w:t>
      </w:r>
    </w:p>
    <w:p>
      <w:r>
        <w:t>Nach Art. 12 Abs. 1 und 2 Bst. b DSG stellt die Datenbearbeitung gegen den ausdrücklichen Willen der betroffenen Person ohne Vorliegen eines Rechtfertigungsgrundes (zu den Rechtfertigungsgründen vgl. Art. 13 DSG) eine Persönlichkeitsverletzung dar. Die betroffene Person kann das Bearbeiten von sie betreffenden Daten voraussetzungslos und ohne Nachweis eines besonderen Interesses verbieten (Widerspruchsrecht; vgl. Corrado Rampini, in: Basler Kommentar DSG/BGÖ, 3. Aufl. 2014, N. 10 zu Art. 12 DSG). Kann sich ein Bearbeiter auf einen Rechtfertigungsgrund berufen, ist das ausgesprochene Verbot unbeachtlich (vgl. Rampini, a.a.O., N. 13 zu Art. 12 DSG). Da das Aufbewahren und Archivieren von Personendaten ebenfalls eine Form des Bearbeitens im Sinne von Art. 3 Bst. e DSG ist und daher nach Art. 12 Abs. 2 Bst. b DSG untersagt werden darf, kann über das Widerspruchsrecht auch die ganze oder teilweise Löschung von Personendaten verlangt werden (vgl. Rosenthal, a.a.O., N. 32 zu Art. 12 DSG).</w:t>
      </w:r>
    </w:p>
    <w:p>
      <w:r>
        <w:rPr>
          <w:b/>
        </w:rPr>
        <w:t>E. 4.3.1</w:t>
      </w:r>
    </w:p>
    <w:p>
      <w:r>
        <w:t>Aus den Akten geht hervor, dass die Beklagte in den letzten Jahren Adress- und damit Personendaten von in Deutschland wohnhaften Personen an Interessenten in Deutschland bekannt gab und diese Daten in der Folge zu Werbezwecken verwendet wurden. Da die Bekanntgabe der Daten - wie insbesondere aus der Faxeingabe der Beklagten vom 5. Januar 2016 hervorgeht - zu ihrer Geschäftstätigkeit gehörte, ist davon auszugehen, sie sei regelmässig erfolgt und habe auch Adressdaten weiterer Personen umfasst. Ausserdem ist anzunehmen, der Bestand der Adressdaten sei nach betroffenen Personen erschliessbar, die Beklagte mithin Inhaberin (mindestens) einer Datensammlung gewesen (vgl. Art. 3 Bst. g DSG). Als Inhaberin (mindestens) einer Datensammlung, die namentlich mit der Bekanntgabe von Adressdaten ins Ausland Personendaten bearbeitete (vgl. BGE 138 II 346 E. 3.2; Urteil des BVGer A-7040/2009 E. 5.4.1), hatte die Beklagte im Zusammenhang mit Auskunfts- und Sperr- bzw. Löschungsbegehren nach Art. 8 und 12 DSG die vorstehend dargelegten Pflichten. Diese erfüllte sie jedoch nicht. Aus den Akten geht vielmehr hervor, dass sie - von den erwähnten drei Fällen abgesehen, in denen sie ihr Verhalten auf Druck des Klägers änderte (vgl. Bst. B.b) - den Auskunfts- und Sperr- bzw. Löschungsbegehren der bekannten betroffenen Personen keine Folge leistete (vgl. Bst. C.a und D). Angesichts ihres Verhaltensmusters ist zudem davon auszugehen, ein Teil der weiteren betroffenen Personen habe sich ebenfalls erfolglos mit entsprechenden Begehren an sie gewandt, in der Folge aber davon abgesehen, sich beim Kläger über ihr Verhalten zu beschweren. Diese Annahme rechtfertigt sich umso mehr, als sämtliche bekannten betroffenen Personen in Deutschland wohnhaft sind. Für die letzten Jahre ist somit davon auszugehen, die Beklagte sei hinsichtlich der bei ihr eingegangenen Auskunfts- und Sperr- bzw. Löschungsbegehren den dargelegten datenschutzrechtlichen Pflichten generell nicht nachgekommen.</w:t>
      </w:r>
    </w:p>
    <w:p>
      <w:r>
        <w:rPr>
          <w:b/>
        </w:rPr>
        <w:t>E. 4.3.2</w:t>
      </w:r>
    </w:p>
    <w:p>
      <w:r>
        <w:t>Was die gegenwärtige Situation betrifft, so erklärt die Beklagte in ihrer Faxeingabe vom 5. Januar 2016 zwar, sie verpflichte sich, "die Vermietung gewonnener Postadressen an Dritte sowie jegliche werbliche Nutzung ausnahmslos einzustellen". Dass sie dies getan hätte, ist indes weder ersichtlich noch in irgendeiner Weise belegt. Der Kläger weist zudem zu Recht darauf hin, dass nicht nur der Verzicht auf die "Vermietung der Postadressen an Dritte" zu belegen wäre, sondern die Einstellung der Datenbekanntgabe an Dritte. Weder erkennbar noch belegt ist im Weiteren, dass die Beklagte - wie in der Faxeingabe angekündigt - alle ihr "bekanntgewordenen Anfragen zu Auskunfts- und Löschungsbegehren" beantwortet hätte. Die weitere beim Kläger eingegangene Beschwerde (vgl. Bst. M) legt vielmehr das Gegenteil nahe. Die Beklagte liess dem Kläger denn auch die mit ihrer Faxeingabe in Aussicht gestellte "Aufstellung" der entsprechenden Schreiben nicht zukommen. Weder ersichtlich noch belegt ist überdies, dass die Beklagte die notwendigen Massnahmen getroffen hätte, um neu eingehende Auskunfts- und Sperr- bzw. Löschungsbegehren den rechtlichen Anforderungen gemäss bearbeiten zu können, oder derartige Begehren nunmehr entsprechend bearbeiten würde. Unter diesen Umständen ist davon auszugehen, sie habe aus den erwähnten Gründen nach wie vor die dargelegten datenschutzrechtlichen Pflichten, erfülle diese hinsichtlich der bei ihr eingehenden Auskunfts- und Sperr- bzw. Löschungsbegehren aber weiterhin nicht.</w:t>
      </w:r>
    </w:p>
    <w:p>
      <w:r>
        <w:rPr>
          <w:b/>
        </w:rPr>
        <w:t>E. 4.3.3</w:t>
      </w:r>
    </w:p>
    <w:p>
      <w:r>
        <w:t>Die Klage erweist sich insoweit demnach als begründet. Die Begehren 1a und 2 (vgl. Bst. J.b) sind daher in Bezug auf die jeweils geforderte Verpflichtung der Beklagten zu datenschutzrechtskonformem Verhalten gutzuheissen (zum Antrag auf Androhung der Ungehorsamsstrafe vgl. E. 6). Der Klarheit halber sei erwähnt, dass pendente Auskunftsbegehren, bei denen die Frist von 30 Tagen zur Beantwortung bereits abgelaufen ist, umgehend zu beantworten sind, zielt das Begehren 1a doch nicht darauf ab, für solche Begehren die 30-tägige Frist zu erneuern.</w:t>
      </w:r>
    </w:p>
    <w:p>
      <w:r>
        <w:rPr>
          <w:b/>
        </w:rPr>
        <w:t>E. 5.1</w:t>
      </w:r>
    </w:p>
    <w:p>
      <w:r>
        <w:t>Gemäss Art. 11a Abs. 3 DSG müssen private Personen Datensammlungen anmelden, wenn regelmässig besonders schützenswerte Personendaten oder Persönlichkeitsprofile bearbeitet (Bst. a) oder regelmässig Personendaten an Dritte bekannt gegeben werden (Bst. b). Die Anmeldung hat zu erfolgen, bevor die Datensammlungen eröffnet werden (vgl. Art. 11a Abs. 4 DSG). Die Ausnahmen von der Anmeldepflicht werden in Art. 11a Abs. 5 DSG und Art. 4 Abs. 1 VDSG geregelt.</w:t>
      </w:r>
    </w:p>
    <w:p>
      <w:r>
        <w:rPr>
          <w:b/>
        </w:rPr>
        <w:t>E. 5.2</w:t>
      </w:r>
    </w:p>
    <w:p>
      <w:r>
        <w:t>Wie ausgeführt (vgl. E. 4.3.1 f.), ist davon auszugehen, die Beklage sei Inhaberin (mindestens) einer Datensammlung und gebe Dritten aus dieser Datensammlung regelmässig Personendaten (Adressdaten) bekannt. Sie ist somit nach Art. 11a Abs. 3 Bst. b DSG grundsätzlich verpflichtet, ihre Datensammlung(en) beim Kläger anzumelden. Dass sie sich auf eine Ausnahme von der Anmeldepflicht berufen könnte, ist nicht ersichtlich. Das Begehren 3 des Klägers (vgl. Bst. J.b) ist demnach ebenfalls begründet. Die Klage ist daher auch insoweit gutzuheissen und die Beklagte entsprechend zu verpflichten.</w:t>
      </w:r>
    </w:p>
    <w:p>
      <w:r>
        <w:rPr>
          <w:b/>
        </w:rPr>
        <w:t>E. 6.1</w:t>
      </w:r>
    </w:p>
    <w:p>
      <w:r>
        <w:t>Gemäss Art. 292 StGB wird mit Busse bestraft, wer der von einer zuständigen Behörde oder einem zuständigen Beamten unter Hinweis auf die Strafdrohung dieses Artikels an ihn erlassenen Verfügung nicht Folge leistet. Der Anwendungsbereich dieser Blankettstrafnorm erstreckt sich auf sämtliche Rechtsgebiete, in denen Verfügungen erlassen werden. Die Strafandrohung nach Art. 292 StGB kommt jedoch nur in Frage, wenn dieselbe Tathandlung nicht bereits durch eine andere, speziellere Bestimmung mit Strafe bedroht ist (vgl. zum Ganzen Riedo/Boner, in: Basler Kommentar Strafrecht II, 3. Aufl. 2013, N. 19 ff. zu Art. 292 StGB). Eine gewisse Einschränkung ergibt sich zudem aus dem Grundsatz der Verhältnismässigkeit (vgl. Riedo/Boner, a.a.O., N. 87 zu Art. 292 StGB). Trotz teilweise abweichender Praxis darf im Weiteren gegenüber juristischen Personen grundsätzlich keine Bestrafung nach Art. 292 StGB angedroht werden. Stattdessen ist die Strafandrohung an die zuständigen Organe bzw. Vertreter zu richten. Eine Ausnahme gilt nur, wenn ein Spezialgesetz die Bestrafung von juristischen Personen wegen Ungehorsams ausdrücklich erlaubt. Diesfalls bestehen aber regelmässig besondere Ungehorsamstatbestände, die Art. 292 StGB vorgehen (vgl. zum Ganzen Riedo/Boner, a.a.O., N. 74 ff. zu Art. 292 StGB m.w.H.). Das DSG sieht keine Bestrafung von juristischen Personen wegen Ungehorsams vor (vgl. Niggli/Maeder, Basler Kommentar DSG/BGÖ, 3. Aufl. 2014, N. 17 zu Vor Art. 34 und 35 DSG, N. 19 zu Art. 34 DSG, N. 13 zu Art. 35 DSG). Die Strafandrohung muss sich gegen eine oder mehrere bestimmte oder doch zumindest bestimmbare Personen richten. Das erfasste Verhalten muss zudem so genau umschrieben sein, dass die betroffene(n) Person(en) erkennen kann bzw. können, was verlangt wird (vgl. zum Ganzen Stratenwerth/Wohlers, Handkommentar StGB, 3. Aufl. 2012, N. 2 zu Art. 292 StGB m.w.H.).</w:t>
      </w:r>
    </w:p>
    <w:p>
      <w:r>
        <w:rPr>
          <w:b/>
        </w:rPr>
        <w:t>E. 6.2</w:t>
      </w:r>
    </w:p>
    <w:p>
      <w:r>
        <w:t>Der Kläger erklärt in den Anträgen, mit denen er jeweils die Androhung der Ungehorsamsstrafe verlangt (vgl. Bst. J.b), nicht, gegen wen sich diese Androhung richten soll. Aus der Begründung in seiner Stellungnahme vom 5. Februar 2016 geht indes hervor, dass es ihm in allgemeiner Weise darum geht, der von ihm befürchteten Nichterfüllung der mit den Begehren 1a und 2 beantragten Verpflichtungen der Beklagten entgegenzutreten. Es ist entsprechend davon auszugehen, es komme ihm letztlich nicht darauf an, wer Adressat der Strafandrohung ist, sondern gehe ihm einzig darum, dass diese ausgesprochen wird. Eine Strafandrohung gegenüber der Beklagten als juristische Person kommt, wie ausgeführt, vorliegend nicht in Betracht. Gegenüber den zuständigen Organen der Beklagten kommt sie hingegen grundsätzlich in Frage. Sie ist insoweit auch zulässig, besteht doch keine speziellere, vorgehende Strafbestimmung und erscheint die Androhung der Ungehorsamsstrafe angesichts des bisherigen Verhaltens der Beklagten als angezeigt und verhältnismässig; das mit den Begehren 1a und 2 von der Beklagten verlangte Verhalten ist zudem genügend genau umschrieben. Der Klage ist demnach auch in Bezug auf die verlangte Androhung der Ungehorsamsstrafe stattzugeben und gegenüber den Mitgliedern des Verwaltungsrats (Art. 707 ff. OR) der Beklagten für den Fall der Nichterfüllung der mit den Begehren 1a und 2 beantragten Verpflichtungen eine Strafandrohung nach Art. 292 StGB auszusprechen.</w:t>
      </w:r>
    </w:p>
    <w:p>
      <w:r>
        <w:rPr>
          <w:b/>
        </w:rPr>
        <w:t>E. 7.1</w:t>
      </w:r>
    </w:p>
    <w:p>
      <w:r>
        <w:t>Wie erwähnt (vgl. E. 1.1), richten sich die Gerichtsgebühren und die Parteientschädigung nach den Art. 63-65 VwVG (vgl. Art. 44 Abs. 3 VGG). Gemäss Art. 63 Abs. VwVG hat in der Regel die unterliegende Partei die Verfahrenskosten zu tragen; unterliegt sie nur teilweise, werden die Kosten ermässigt. Unterliegenden Bundesbehörden werden keine Kosten auferlegt (vgl. Art. 63 Abs. 2 VwVG). Der Kläger setzt sich mit seinen Begehren 1a, 2 und 3 - und damit der gesamten Empfehlung vom 17. September 2014 - sowie mit den Anträgen auf Androhung der Ungehorsamsstrafe nach Art. 292 StGB durch; auf sein Begehren 1b ist hingegen nicht einzutreten. Da seiner Klage lediglich in einem untergeordneten Punkt nicht stattgegeben werden kann, ist die Beklagte als zu 80 % unterliegend zu betrachten. Sie hat daher die Verfahrenskosten, die wegen des nicht unerheblichen Verfahrensaufwands (vor allem Durchführung zweier Verhandlungen, zahlreiche Instruktionsverfügungen) auf Fr. 2'000.- festzusetzen sind (vgl. Art. 1 ff. des Reglements vom 21. Februar 2008 über die Kosten und Entschädigungen vor dem Bundesverwaltungsgericht [VGKE, SR 173.320.2]), im Umfang von Fr. 1'600.- zu tragen. Dem Kläger sind keine Verfahrenskosten aufzuerlegen.</w:t>
      </w:r>
    </w:p>
    <w:p>
      <w:r>
        <w:rPr>
          <w:b/>
        </w:rPr>
        <w:t>E. 7.2</w:t>
      </w:r>
    </w:p>
    <w:p>
      <w:r>
        <w:t>Der obsiegenden Partei ist von Amtes wegen oder auf Begehren eine Entschädigung für die ihr erwachsenen notwendigen Kosten zuzusprechen (vgl. Art. 64 Abs. 1 VwVG i.V.m. Art. 7 Abs. 1 VGKE). Obsiegt sie nur teilweise, ist die Parteientschädigung entsprechend zu kürzen (vgl. Art. 7 Abs. 2 VGKE). Bundesbehörden haben keinen Anspruch auf eine Parteientschädigung (vgl. Art. 7 Abs. 3 VGKE). Dem Kläger steht entsprechend keine Parteientschädigung zu. Gleiches gilt für die Beklagte, ist doch nicht ersichtlich, dass ihr nennenswerte Kosten entstanden wären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