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A-5214/2014 vom 2. Juli 2015</w:t>
      </w:r>
    </w:p>
    <w:p>
      <w:r>
        <w:t>Bundesverwaltungsgericht, 2015-07-02, DE</w:t>
      </w:r>
    </w:p>
    <w:p>
      <w:r>
        <w:rPr>
          <w:b/>
        </w:rPr>
        <w:t xml:space="preserve">Quelle: </w:t>
      </w:r>
      <w:r>
        <w:t>https://mcp.opencaselaw.ch/entscheid/bvger_A-5214_2014</w:t>
      </w:r>
    </w:p>
    <w:p>
      <w:r>
        <w:t>FR: TAF A-5214/2014 du 2 juillet 2015</w:t>
      </w:r>
    </w:p>
    <w:p>
      <w:r>
        <w:t>IT: TAF A-5214/2014 del 2 luglio 2015</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VGG grundsätzlich beim Bundesverwaltungsgericht angefochten werden (statt vieler: Urteil des BVGer A 1305/2012 vom 10. Oktober 2012 E. 1.1). Im Verfahren vor dieser Instanz wird die Zollverwaltung durch die OZD vertreten (Art. 116 Abs. 2 ZG). Das Verfahren richtet sich - soweit das VGG nichts anderes bestimmt - nach den Vorschriften des VwVG. Die Beschwerdeführerin ist Adressatin des angefochtenen Entscheides und somit zur Beschwerdeerhebung legitimiert (Art. 48 Abs. 1 VwVG). Die Beschwerde wurde unter Berücksichtigung der Gerichtsferien form- und fristgerecht eingereicht (Art. 50 Abs. 1, Art. 52 Abs. 1, Art. 22a VwVG). Ebenso hat die Beschwerdeführerin den Nachweis erbracht, dass sie den Kostenvorschuss fristgerecht geleistet hat (Art. 63 Abs. 4 VwVG in Verbindung mit Art. 21 Abs. 3 VwVG). Auf die Beschwerde ist somit einzutreten.</w:t>
      </w:r>
    </w:p>
    <w:p>
      <w:r>
        <w:rPr>
          <w:b/>
        </w:rPr>
        <w:t>E. 1.2</w:t>
      </w:r>
    </w:p>
    <w:p>
      <w:r>
        <w:t>Auf das Verfahren der Zollveranlagung findet das VwVG keine Anwendung (Art. 3 Bst. e VwVG). Nach ständiger Rechtsprechung unterliegt das Veranlagungsverfahren - vorbehältlich der Verfahrensgarantien der BV und der allgemeinen Grundsätze des Verwaltungsrechts - grundsätzlich nur den vom Selbstanmeldungsprinzip getragenen besonderen Vorschriften des Zollrechts (vgl. Art. 21 ff. ZG; Urteile des BVGer A-53/2013 vom 3. Mai 2013 E. 1.3.1, A-1305/2012 vom 10. Oktober 2012 E. 1.3.1, A-6922/2011 vom 30. April 2012 E. 1.2.1).</w:t>
      </w:r>
    </w:p>
    <w:p>
      <w:r>
        <w:rPr>
          <w:b/>
        </w:rPr>
        <w:t>E. 1.3</w:t>
      </w:r>
    </w:p>
    <w:p>
      <w:r>
        <w:t>Das streitige Zollverfahren wird im ZG lediglich in den Grundzügen geregelt, nämlich bezüglich Anfechtungsobjekt, Zuständigkeit und Beschwerdefrist (Art. 116 Abs. 1 bis 3 ZG). Im Übrigen verweist Art. 116 Abs. 4 ZG ausdrücklich auf die allgemeinen Bestimmungen der Bundesrechtspflege. Anders als im Zollveranlagungsverfahren (E. 1.2), findet auf das Beschwerdeverfahren somit grundsätzlich die allgemeine Verfahrensordnung für die Verwaltungsrechtspflege des Bundes (VwVG) Anwendung (vgl. Urteile des BVGer A-53/2013 vom 3. Mai 2013 E. 1.3.2, A 5967/2012 vom 11. März 2013 E. 2.2, A-2890/2011 vom 29. Dezember 2011 E. 1.3.2, A-5069/2010 vom 28. April 2011 E. 1.2.1.2; Remo Arpagaus, Zollrecht, in: Koller/Müller/Tanquerel/Zimmerli [Hrsg.], Schweizerisches Bundesverwaltungsrecht, 2. Aufl. 2007 [nachfolgend Zollrecht], Rz. 447).</w:t>
      </w:r>
    </w:p>
    <w:p>
      <w:r>
        <w:rPr>
          <w:b/>
        </w:rPr>
        <w:t>E. 1.4</w:t>
      </w:r>
    </w:p>
    <w:p>
      <w:r>
        <w:t>Mit Beschwerde an das Bundesverwaltungsgericht kann die Verletzung von Bundesrecht - einschliesslich Überschreitung oder Missbrauch des Ermessens (Art. 49 Bst. a VwVG) - sowie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2. Aufl. 2013,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(sog. Motivsubstitution; Urteil des BVGer A-917/2014 vom 25. November 2014 E. 1.3).</w:t>
      </w:r>
    </w:p>
    <w:p>
      <w:r>
        <w:rPr>
          <w:b/>
        </w:rPr>
        <w:t>E. 2.1</w:t>
      </w:r>
    </w:p>
    <w:p>
      <w:r>
        <w:t>Waren, die ins Zollgebiet oder aus dem Zollgebiet verbracht werden, sind zollpflichtig und müssen nach dem ZG sowie nach dem Zolltarifge-setz vom 9. Oktober 1986 (ZTG, SR 632.10) veranlagt werden (Grund-satz der allgemeinen Zollpflicht, vgl. Art. 7 ZG). Art. 1 ZTG schreibt vor, dass alle Waren, die über die schweizerische Zollgrenze ein- und ausge-führt werden, nach dem Generaltarif zu verzollen sind, welcher in den Anhängen 1 und 2 des ZTG enthalten ist. Vorbehalten bleiben Abweichungen, die sich ergeben aus Staatsverträgen, besonderen Bestimmun-gen von Gesetzen sowie Verordnungen des Bundesrats, die sich auf die-ses Gesetz abstützen (Art. 1 Abs. 2 ZTG; Urteile des BVGer A-3030/2013 vom 8. Mai 2014 E. 2.1, A-525/2013 vom 25. November 2013 E. 2.1.1, A 5151/2011 vom 2. Oktober 2012 E. 2.2 und A-1134/2011 vom 2. Dezember 2011 E. 2.1).</w:t>
      </w:r>
    </w:p>
    <w:p>
      <w:r>
        <w:rPr>
          <w:b/>
        </w:rPr>
        <w:t>E. 2.1.1</w:t>
      </w:r>
    </w:p>
    <w:p>
      <w:r>
        <w:t>Die Schweiz gewährt bei der Einfuhr von Ursprungswaren aus Entwicklungsländern im Rahmen des Allgemeinen Präferenzensystems (APS) zugunsten der Entwicklungsländer Zollpräferenzen. Zollpräferenzen sind Zollvergünstigungen (Zollfreiheit oder reduzierter Zollansatz; vgl. Art. 1 Abs. 1 des Bundesgesetzes vom 9. Oktober 1981 über die Gewährung von Zollpräferenzen zugunsten der Entwicklungsländer, Zollpräferenzgesetz, SR 632.91; Verordnung vom 16. März 2007 über die Präferenz-Zollansätze zugunsten der Entwicklungsländer, Zollpräferenzverordnung, SR 632.911; Verordnung vom 30. März 2011 über die Ursprungsregeln für Zollpräferenzen zugunsten der Entwicklungsländer, Ursprungsregelnverordnung, VUZPE, SR 946.39). Es handelt sich hierbei um einseitig gewährte Präferenzen (vgl. Thomas Cottier/David Herren, in: Kocher/Clavadetscher [Hrsg.], Stämpflis Handkommentar zum Zollgesetz, Bern 2009 [nachfolgend Zollkommentar], Einleitung Rz. 71). Mit dem Inkrafttreten der VUZPE per 1. Mai 2011 wurden die Ursprungskriterien für Entwicklungsländer mehrheitlich vereinfacht. Insbesondere wurden diese bei vielen Positionen der Kapitel 25-97 des HS für die in der Entwicklung am wenigsten fortgeschrittenen Länder (sog. LDC) so gestaltet, dass es für diese Länder einfacher wird, die Ursprungskriterien zu erfüllen (vgl. Zirkular der EZV No. 322.0.1.2011 D.31 "Allgemeines Präferenzensystem für Entwicklungsländer, Revision der Ursprungsregelnverordnung" vom 29. April 2011, [nachfolgend Zirkular 2011]). Die Einfuhr von Ursprungserzeugnissen aus Ländern, die zu den LDCs gehören, ist zollfrei (Art. 6 Abs. 1 der Zollpräferenzverordnung). Sowohl Kambodscha als auch Laos fallen unter die Kategorie der LDCs (vgl. Anhang 1 Spalte C der Zollpräferenzverordnung).</w:t>
      </w:r>
    </w:p>
    <w:p>
      <w:r>
        <w:rPr>
          <w:b/>
        </w:rPr>
        <w:t>E. 2.1.2</w:t>
      </w:r>
    </w:p>
    <w:p>
      <w:r>
        <w:t>Um als Ursprungserzeugnis eines LDCs zu gelten, müssen verschiedene Voraussetzungen bei der Gewinnung oder Herstellung bzw. bei der Be- oder Verarbeitung der Ware erfüllt sein (vgl. Art. 4 ff. VUZPE). Ferner muss bei der Einfuhr ein entsprechender Ursprungsnachweis vorgelegt werden (Art. 3 Abs. 2 der Zollpräferenzverordnung). Das Ursprungszeugnis nach "Formular A" wird von der zuständigen Regierungsstelle des begünstigten Landes auf schriftlichen Antrag des Ausführers oder seines Vertreters ausgestellt (Art. 24 Abs. 1 VUZPE) und hat verschiedenen formellen Anforderungen zu genügen (vgl. Art. 25 ff. und Anhang 2 VUZPE). In der Praxis ist es durchaus möglich, dass eine Präferenzbehandlung bewusst unterbleibt (z.B. weil die Kosten für die Erstellung von Ursprungsnachweisen hoch sind; Urteil des BVGer A-3935/2014 vom 27. April 2015 E. 2.1 [zur Publikation vorgesehen] mit Hinweis auf Remo Arpagaus, in: Zollrecht, Rz. 253 und Fn. 871 mit weiteren Hinweisen).</w:t>
      </w:r>
    </w:p>
    <w:p>
      <w:r>
        <w:rPr>
          <w:b/>
        </w:rPr>
        <w:t>E. 2.1.3</w:t>
      </w:r>
    </w:p>
    <w:p>
      <w:r>
        <w:t>Gemäss Art. 21 Abs. 1 VUZPE wird der Ursprungsnachweis bei der Einfuhr in die Schweiz wie folgt erbracht: - durch Vorlage eines von den Zollbehörden oder anderen Regierungsstellen des begünstigten Landes ausgestellten Ursprungszeugnisses nach Formular A (Bst. a) oder - durch Vorlage eines Ersatzursprungszeugnisses, das von den Zollbehörden Norwegens, der Türkei oder eines Mitgliedstaates der EU auf der Grundlage eines von der zuständigen Regierungsstelle des begünstigten Landes ausgestellten Ursprungszeugnisses nach Formular A ausgestellt worden ist (Bst. b) oder - durch Vorlage einer Erklärung auf der Rechnung nach Art. 35 der VUZPE (Bst. c). Ein oder mehrere Ursprungszeugnisse nach Formular A können jederzeit durch ein oder mehrere andere Ursprungszeugnisse nach Formular A ersetzt werden, wenn die Erzeugnisse, für welche die aufzuteilenden Vordokumente gelten, unter Zollüberwachung stehen (Art. 32 Abs. 1 Bst. a VUZPE) und die Ursprungszeugnisse bei derjenigen Zollstelle aufgeteilt werden, die für die Überwachung der Erzeugnisse zuständig ist (Art. 32 Abs. 1 Bst. b VUZPE). Diese letztere Regelung gilt indessen vorab für von den schweizerischen Behörden ausgestellte Ersatzursprungszeugnisse. Mit Bezug auf ausländische Ersatzursprungzeugnisse hält indessen Art. 1 Abs. 2 VUZPE fest, dass diese durch die Schweiz anerkannt werden, sofern Norwegen, die Türkei und die Mitgliedstaaten der EU gleichartige Ausstellungsregeln anwenden und die von der Schweiz ausgestellten Ersatzursprungszeugnisse ebenfalls anerkennen. Davon ist mit Bezug auf die Länder der EU vorbehältlich hier nicht relevanter Ausnahmen auszugehen (vgl. Abkommen vom 14. Dezember 2000 in Form eines Briefwechsels zwischen der Europäischen Gemeinschaft und den einzelnen im Rahmen des allgemeinen Präferenzsystems Zollpräferenzen gewährenden EFTA-Ländern [Norwegen und Schweiz], wonach die Waren mit Bestandteilen mit Ursprung in Norwegen oder der Schweiz bei ihrer Ankunft im Zollgebiet der Gemeinschaft wie Waren behandelt werden, die Bestandteile mit Ursprung in der Gemeinschaft enthalten [Gegenseitigkeitsabkommen; SR 0.632.401.021]; Zirkular 2011, insbesondere Ziff. 2.3.1 e contrario). Ersatzursprungszeugnisse werden somit bei der Aufteilung von unter Zollgewahrsam stehenden Warenlieferungen verwendet und dienen als Ursprungsnachweis für denjenigen Teil der Warenlieferung, der in ein anderes Land weiterversandt wird.</w:t>
      </w:r>
    </w:p>
    <w:p>
      <w:r>
        <w:rPr>
          <w:b/>
        </w:rPr>
        <w:t>E. 2.2</w:t>
      </w:r>
    </w:p>
    <w:p>
      <w:r>
        <w:t>Die Grundlage der Zollveranlagung ist die Zollanmeldung (Art. 18 Abs. 1 ZG). Diese nimmt im schweizerischen Zollwesen eine zentrale Stellung ein (Barbara Schmid, in: Zollkommentar, Art. 18 Rz. 1). Die Zollanmeldung kann auch elektronisch erfolgen (Art. 28 Abs. 1 Bst. a ZG für zugelassene Empfänger in Verbindung mit Art. 105 der Zollverordnung vom 1. November 2006 [ZV, SR 631.01]). Laut Art. 16 der Zollverordnung der EZV vom 4. April 2007 (ZV-EZV, SR 631.013) in Verbindung mit Art. 33 Abs. 2 ZG gilt die elektronische Zollanmeldung als angenommen, wenn sie die summarische Prüfung des EDV-Systems der EZV erfolgreich durchlaufen hat. Das EDV-System fügt der elektronischen Zollanmeldung Annahmedatum und Annahmezeit hinzu (Art. 16 ZV-EZV). Nach der Annahme der elektronischen Zollanmeldung führt das EDV-System eine Selektion auf der Grundlage einer Risikoanalyse durch (Art. 17 Abs. 1 ZV-EZV). Lautet das Selektionsergebnis auf "frei mit", muss die anmeldepflichtige Person der Zollstelle einen Ausdruck der Zollanmeldung und die erforderlichen Begleitdokumente vorlegen. Die Waren gelten als freigegeben (Art. 17 Abs. 3 ZV-EZV). Lautet das Selektionsergebnis "frei ohne", müssen der Zollstelle allfällige Transitdokumente, Ursprungsnachweise und Bewilligungen der OZD vorgelegt werden. Die Waren gelten wiederum als freigegeben (vgl. Art. 17 Abs. 4 ZV-EZV).</w:t>
      </w:r>
    </w:p>
    <w:p>
      <w:r>
        <w:rPr>
          <w:b/>
        </w:rPr>
        <w:t>E. 2.3</w:t>
      </w:r>
    </w:p>
    <w:p>
      <w:r>
        <w:t>Die zuständige Zollstelle überprüft die vom Anmeldepflichtigen vorzunehmende Deklaration lediglich summarisch auf ihre formelle Richtigkeit und Vollständigkeit sowie auf das Vorliegen der Begleitpapiere (Art. 32 Abs. 1 ZG; Urteile des BVGer A-2890/2011 vom 29. Dezember 2011 E. 2.3 und A-1528/2008 vom 25. Mai 2010 E. 2.2; Barbara HENZEN, in: Zollkommentar, Art. 25 Rz. 3). Hat die Zollstelle einen vorhandenen Mangel nicht festgestellt und die Zollanmeldung nicht zurückgewiesen, so kann die anmeldepflichtige Person daraus keine Rechte ableiten (Urteil des BVGer A-3935/2014 vom 27. April 2015 [zur Publikation vorgesehen] E. 2.3 und HENZEN, in: Zollkommentar, Art. 32 Rz. 10).</w:t>
      </w:r>
    </w:p>
    <w:p>
      <w:r>
        <w:rPr>
          <w:b/>
        </w:rPr>
        <w:t>E. 2.4</w:t>
      </w:r>
    </w:p>
    <w:p>
      <w:r>
        <w:t>Mit der Annahme durch die Zollstelle wird die Zollanmeldung für die anmeldepflichtige Person verbindlich (Art. 33 Abs. 1 ZG) und grundsätz-lich unabänderlich. Sie bildet, vorbehältlich der Beschau, die Grundlage für die Festsetzung der Zölle und weiteren Abgaben. Dieser Grundsatz der Unabänderlichkeit der angenommenen Zollanmeldung stellt einen Eckpfeiler des schweizerischen Zollrechts dar (Patrick Raedersdorf, in: Zollkommentar, Art. 33 Rz. 2).</w:t>
      </w:r>
    </w:p>
    <w:p>
      <w:r>
        <w:rPr>
          <w:b/>
        </w:rPr>
        <w:t>E. 2.5</w:t>
      </w:r>
    </w:p>
    <w:p>
      <w:r>
        <w:t>Eine starre Anwendung des Prinzips der Verbindlichkeit und Unabänderlichkeit einer angenommenen Zollanmeldung kann in gewissen Fällen zu unerwünschten und unverhältnismässigen Ergebnissen führen. Wäh-rend unter altem Recht (Zollgesetz vom 1. Oktober 1925 [aZG, AS 42 287 und BS 6 465]) eine nachträgliche Berichtigung der Zollanmeldung gesetzlich nicht vorgesehen war und nur beschränkt sowie unter besonderen Umständen als zulässig anerkannt wurde, sieht Art. 34 ZG nun explizit und abschliessend vor, dass die anmeldepflichtige Person eine angenommene Zollanmeldung unter bestimmten Voraussetzungen berichtigen oder zurückziehen kann (Urteile des BVGer A 6660/2011 vom 29. Mai 2012 E. 3.1, A 3213/2009 vom 7. Juli 2010 E. 4.2.1; vgl. auch Raedersdorf, in: Zollkommentar, Art. 34 Rz. 1 und Art. 39 Rz. 1). Die Bestimmung unterscheidet verschiedene Zeitpunkte, in denen ein Berichtigungsantrag gestellt werden kann: Abs. 1 und 2 beziehen sich auf Sachverhalte vor dem Erstellen der Veranlagungsverfügung, Abs. 3 und 4 gelangen zur Anwendung, wenn bereits eine Veranlagungsverfügung ausgestellt worden ist. Im letztgenannten Fall kann die anmeldepflichtige Person innerhalb einer (Verwirkungs-)Frist von 30 Tagen ab dem Zeitpunkt, in dem die Waren den Gewahrsam der Zollverwaltung verlassen haben, der Zollstelle ein Gesuch um Änderung der Veranlagung einreichen; gleichzeitig muss sie eine berichtigte Zollanmeldung einreichen (Art. 34 Abs. 3 ZG; vgl. Urteil des BVGer A-3213/2009 vom 7. Juli 2010 E. 4.2.3). Die Zollstelle gibt dem Gesuch statt, wenn die anmeldepflichtige Person nachweist, dass die Waren entweder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 Die Voraussetzungen für eine neue Veranlagung nach Art. 34 Abs. 4 Bst. b ZG gelten insbesondere dann als gegeben, wenn zum Zeitpunkt der ursprünglichen Zollanmeldung die materiellen und die formellen Voraussetzungen für die Gewährung einer Zollermässigung, einer Zollbefreiung oder einer Rückerstattung erfüllt waren (Art. 89 Bst. a ZV; zum Ganzen: Urteile des BVGer A-593/2014 vom 27. Mai 2014 E. 2.6.1, A 6660/2011 vom 29. Mai 2012 E. 3.1, A 3213/2009 vom 7. Juli 2010 E. 2.5, mit Hinweisen). Zu beachten gilt es schliesslich insbesondere, dass nach Ablauf der 30-tägigen Frist nicht mehr zum Thema des ordentlichen Beschwerdeverfahrens gemäss Art. 116 ZG gemacht werden darf, was bereits Gegenstand der Zollanmeldeberichtigung gemäss Art. 34 ZG hätte bilden können (Urteile des BVGer A-3935/2014 vom 27. April 2015 [zur Publikation vorgesehen] E. 2.5, A 6660/2011 vom 29. Mai 2012 E. 3.1).</w:t>
      </w:r>
    </w:p>
    <w:p>
      <w:r>
        <w:rPr>
          <w:b/>
        </w:rPr>
        <w:t>E. 3.1</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(Urteile des BVGer A 235/2014 vom 26. Mai 2014 E. 5, A-2632/2013 vom 26. Februar 2014 E. 2.8; Felix Uhlmann, Das Willkürverbot [Art. 9 BV], Bern 2005, Rz. 106).</w:t>
      </w:r>
    </w:p>
    <w:p>
      <w:r>
        <w:rPr>
          <w:b/>
        </w:rPr>
        <w:t>E. 3.2</w:t>
      </w:r>
    </w:p>
    <w:p>
      <w:r>
        <w:t>Nach dem Grundsatz des Vertrauensschutzes haben die Privaten Anspruch darauf, in ihrem berechtigten Vertrauen in behördliche Zusiche-rungen oder in anderes, bestimmte Erwartungen begründendes Verhalten der Behörden, geschützt zu werden (Ulrich Häfelin/Georg Müller/Felix Uhlmann, Allgemeines Verwaltungsrecht, 6. Aufl. 2010, Rz. 627). Allerdings wird der Vertrauensschutz im Abgaberecht, das von einem strengen Legalitätsprinzip beherrscht wird, nur zurückhaltend gewährt (Urteile des BVGer A 3030/2013 vom 8. Mai 2013 E. 2.5.3, A 525/2013 vom 25. November 2013 E. 2.5.3, A-7148/2010 vom 19. Dezember 2012 E. 7.1, A-1374/2011 vom 5. Januar 2012 E. 3.4).</w:t>
      </w:r>
    </w:p>
    <w:p>
      <w:r>
        <w:rPr>
          <w:b/>
        </w:rPr>
        <w:t>E. 3.3</w:t>
      </w:r>
    </w:p>
    <w:p>
      <w:r>
        <w:t>Für die erfolgreiche Geltendmachung des Vertrauensschutzprinzips bedarf es zunächst eines Anknüpfungspunktes es muss eine Vertrau-ensgrundlage vorhanden sein. Darunter ist das Verhalten eines staatli-chen Organes zu verstehen, das bei den betroffenen Privaten bestimmte Erwartungen auslöst (Urteil des BVGer A-3030/2013 vom 8. Mai 2013 E. 2.5.3). Eine unrichtige Auskunft einer Verwaltungsbehörde ist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Insoweit steht die Auskunft unter dem Vorbehalt späterer Rechtsänderung (BGE 118 Ia 245 E. 4a). Zudem muss das private Interesse am Vertrauensschutz das öffentliche Interesse an der richtigen Rechtsanwendung überwiegen, damit die Berufung auf Treu und Glauben durchdringen kann (Urteile des BVGer A-235/2014 vom 26. Mai 2014 E. 5.1.2, A 1702/2006 vom 23. Januar 2009 E. 2.7 mit Hinweisen auf Lehre und Rechtsprechung).</w:t>
      </w:r>
    </w:p>
    <w:p>
      <w:r>
        <w:rPr>
          <w:b/>
        </w:rPr>
        <w:t>E. 4</w:t>
      </w:r>
    </w:p>
    <w:p>
      <w:r>
        <w:t>Überspitzter Formalismus ist eine besondere Form der Rechts-verweigerung im Sinne von Art. 29 Abs. 1 BV.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Bürgerinnen und Bürgern da-durch den Rechtsweg in unzulässiger Weise versperrt (BGE 135 I 6 E. 2.1, 132 I 249 E. 5, 130 V 177 E. 5.4.1). Allerdings ist die Wahrung gewisser Formen für einen geordneten Verfahrensablauf unerlässlich und dient der Verwirklichung des materiellen Rechts sowie dem Schutz der Rechte der Parteien. Demnach steht nicht jede prozessuale Formstrenge mit Art. 29 Abs. 1 BV in Widerspruch, sondern nur eine solche, die als exzessiv erscheint, durch kein schutzwürdiges Interesse gerechtfertigt ist, zum blossen Selbstzweck wird und die Verwirklichung des materiellen Rechts in unhaltbarer Weise erschwert oder gar verhindert (BGE 135 I 6 E. 2.1; Urteile des BVGer A-3875/2014 vom 1. Dezember 2014 E. 2.4, A 4355/2007 vom 20. November 2009 E. 4.3; Gerold Steinmann, in: Ehrenzeller/Schindler/Schweizer/Vallender [Hrsg.], Die Schweizerische Bundesverfassung, St. Galler Kommentar, 3. Aufl. 2014, Band I, Art. 29 N 28; Alfred Kölz/Isabelle Häner/Martin Bertschi, Verwaltungsverfahren und Verwaltungsrechtspflege des Bundes, 3. Aufl 2013, Rz. 206; René Rhinow/Heinrich Koller/Christina Kiss/Daniela Thurnherr/Denise Brühl-Moser, Öffentliches Prozessrecht, 2. Aufl. 2010, Rz. 296).</w:t>
      </w:r>
    </w:p>
    <w:p>
      <w:r>
        <w:rPr>
          <w:b/>
        </w:rPr>
        <w:t>E. 5.1</w:t>
      </w:r>
    </w:p>
    <w:p>
      <w:r>
        <w:t>Im vorliegenden Fall meldete die Beschwerdeführerin zwischen dem 6. Januar und dem 7. Februar 2014 diverse Kleidersendungen zur ordentlichen Einfuhr in die Schweiz an. Am gleichen Tag durchlief die Anmeldung erfolgreich die summarische Prüfung des EDV-Systems der Zollverwaltung, wodurch sie verbindlich wurde. Das Ergebnis der Risikoanalyse des Zollcomputers lautete unbestrittenermassen "frei mit" und "frei ohne". Dementsprechend galten die Waren mit der Annahme der elektronischen Zollanmeldung bzw. des erwähnten Selektionsergebnisses als freigegeben und der Gewahrsam der Zollverwaltung endete hiermit (E. 2.2). Die letzten fünf Einfuhrzollanmeldungen erfolgten am 7. Februar 2014. Die weiteren Anmeldungen zur Überführung in den zollrechtlich freien Verkehr datieren vom 28. Januar 2014 und früher (vgl. amtl. Akten act. 1). Alle Sendungen wurden zum Normalansatz angemeldet und veranlagt. Mit ihren Gesuchen, datiert vom 5. März 2014 (amtl. Akten act. 1 und 2), welche die Beschwerdeführerin am 6. März 2014 am Schalter der Zollstelle Aarau übergeben hat, verlangte sie die Änderung der oben genannten Veranlagungen. Die betreffenden Einfuhren seien zollfrei zu veranlagen und der entrichtete Zoll zurückzuerstatten. Im Weiteren führte sie aus, die Ursprungsdokumente werde sie so bald als möglich nachreichen. In der nachfolgenden Korrespondenz und im vorliegenden Beschwerdeverfahren legt die Beschwerdeführerin dar, im Zeitpunkt der umstrittenen Einfuhren aus Kambodscha und Laos seien sämtliche formellen und materiellen Voraussetzungen für eine Präferenzbehandlung erfüllt gewesen. Sie habe es - aus verschiedenen Gründen - irrtümlich unterlassen, ihren Anspruch auf Zollpräferenz bereits anlässlich der Einfuhr geltend zu machen.</w:t>
      </w:r>
    </w:p>
    <w:p>
      <w:r>
        <w:rPr>
          <w:b/>
        </w:rPr>
        <w:t>E. 5.2.1</w:t>
      </w:r>
    </w:p>
    <w:p>
      <w:r>
        <w:t>Die Beschwerdeführerin stellte mit ihren Eingaben am 6. März 2014 bei der Zollstelle Aarau ein Gesuch um Änderung der Veranlagung und machte den Tatbestand von Art. 34 Abs. 3 ZG in Verbindung mit Art. 34 Abs. 4 Bst. b ZG geltend. Für die meisten Einfuhren hat die Beschwerdeführerin die 30-tägige Frist von Art. 34 Abs. 3 ZG indessen nicht eingehalten. Bloss bei den fünf Einfuhrzollanmeldungen vom 7. Februar 2014 hat sie das Gesuch rechtzeitig, d.h. innerhalb von 30 Tagen ab dem Zeitpunkt, in dem die Waren den Gewahrsam der Zollverwaltung verlassen haben, gestellt. Für alle übrigen Einfuhren ergingen die Anträge zu spät. Da es sich bei der Frist von Art. 34 Abs. 3 ZG um eine Verwirkungsfrist handelt, ist sie von Amtes wegen zu beachten (oben E. 2.5; Urteil des BVGer A 3213/2009 vom 7. Juli 2010 E. 4.2.4). Weil die Beschwerdeführerin bei den betreffenden Einfuhren die 30-tägige Frist verpasst hat, hat sie damit insoweit ihr Recht auf eine Änderung der Veranlagung in Sinn von Art. 34 ZG verwirkt. Sie kann sich nach Ablauf der Frist nicht mehr darauf berufen, es lägen die in Art. 34 Abs. 4 ZG genannten Voraussetzungen vor. Die Beschwerdeführerin hat zwar mit ihren Eingaben am 6. März 2014 auch mit Bezug auf die betreffenden Einfuhren vor dem 7. Februar 2014 die Beschwerdefrist von 60 Tagen (Art. 116 Abs. 3 ZG) eingehalten, nach Ablauf der 30-tägigen Frist kann indessen nicht mehr zum Thema des ordentlichen Beschwerdeverfahrens gemäss Art. 116 ZG gemacht werden, was bereits Gegenstand der Zollanmeldeberichtigung gemäss Art. 34 ZG hätte bilden können (E. 2.5 in fine).</w:t>
      </w:r>
    </w:p>
    <w:p>
      <w:r>
        <w:rPr>
          <w:b/>
        </w:rPr>
        <w:t>E. 5.2.2</w:t>
      </w:r>
    </w:p>
    <w:p>
      <w:r>
        <w:t>Die Beschwerdeführerin weist zudem auf eine von ihr im November oder Dezember 2010 telefonisch eingeholte Information seitens der Zollstelle Aarau hin, wonach es in der Schweiz mit Bezug auf die Ursprungsregeln hinsichtlich der LDC keine Angleichung zum Europäischen Recht gebe und auch in Zukunft zu keiner Angleichung kommen werde. Diese Auskunft habe sich im Nachhinein insoweit als unzutreffend erwiesen, als dass rund fünf Monate später, d.h. mit Inkrafttreten der VUZPE per 1. Mai 2011, dennoch eine Angleichung an das Europäische Recht stattgefunden habe. Die Beschwerdeführerin beruft sich damit sinngemäss auf den Vertrauensschutz. Nach der höchstrichterlichen Rechtsprechung zum Vertrauensschutz ergehen Auskünfte von Behörden stets unter dem Vorbehalt späterer Rechtsänderungen (vgl. E. 3.3). Entsprechend sieht auch Art. 20 Abs. 4 ZG vor, dass gar eine schriftliche Tarifauskunft ihre Verbindlichkeit verliert, wenn die entsprechenden Bestimmungen geändert werden. Selbst wenn vorliegend von einem rechtsgenügenden Nachweis der entsprechenden telefonischen Auskunft Ende 2010 ausgegangen werden könnte, hätte diese demnach mit der eingetretenen Rechtsänderung per Mai 2011 ihre Verbindlichkeit verloren. Die Voraussetzungen für den Vertrauensschutz sind somit schon deshalb nicht gegeben. Die Vorinstanz durfte daher ohne Weiteres auf die Abnahme des offerierten Zeugenbeweis' verzichten. Die Beschwerdeführerin kann folglich aus der behaupteten telefonischen Auskunft nichts zu ihren Gunsten ableiten. Sie kann sich insbesondere nicht darauf berufen, sie habe aufgrund eines zu schützenden Vertrauens in eine Auskunft der Zollstelle Aarau ihre Einfuhren nicht zum Präferenzollansatz angemeldet bzw. die Gesuche um Berichtigung nicht rechtzeitig vorgenommen.</w:t>
      </w:r>
    </w:p>
    <w:p>
      <w:r>
        <w:rPr>
          <w:b/>
        </w:rPr>
        <w:t>E. 5.2.3</w:t>
      </w:r>
    </w:p>
    <w:p>
      <w:r>
        <w:t>Mit Bezug auf die Einfuhren in der Zeit vom 6. bis 28. Januar 2014 (vgl. amtl. Akten act. 1 und 2) ist die Beschwerde demnach abzuweisen. Daran ändert auch nichts, dass die Zollkreisdirektion Basel in ihrem Entscheid vom 11. Juli 2014 betreffend diese Einfuhren die Präferenzbehandlung aus anderen Gründen verweigerte. Wie ausgeführt (E. 1.4) kann das Bundesverwaltungsgericht eine Beschwerde auch mit einer von der Vorinstanz abweichenden Begründung abweisen.</w:t>
      </w:r>
    </w:p>
    <w:p>
      <w:r>
        <w:rPr>
          <w:b/>
        </w:rPr>
        <w:t>E. 5.3</w:t>
      </w:r>
    </w:p>
    <w:p>
      <w:r>
        <w:t>Zu prüfen bleibt im vorliegenden Fall, ob bei den fünf Einfuhren vom 7. Februar 2014 (vgl. amtl. Akten act. 1) die Voraussetzungen für eine Berichtigung im Sinn von Art. 34 Abs. 4 Bst. b ZG gegeben waren. Insbesondere ist strittig, ob die eingereichten Ursprungsnachweise ausreichen.</w:t>
      </w:r>
    </w:p>
    <w:p>
      <w:r>
        <w:rPr>
          <w:b/>
        </w:rPr>
        <w:t>E. 5.3.1</w:t>
      </w:r>
    </w:p>
    <w:p>
      <w:r>
        <w:t>Wie oben ausgeführt (E. 2.1.3) kann der Ursprungsnachweis für die präferenzielle Einfuhr von Ursprungserzeugnissen aus LDCs grundsätzlich auch mit einem Ersatzursprungszeugnis im Sinn der VUZPE erbracht werden. Dies stellt auch die EZV nicht in Abrede.</w:t>
      </w:r>
    </w:p>
    <w:p>
      <w:r>
        <w:rPr>
          <w:b/>
        </w:rPr>
        <w:t>E. 5.3.2</w:t>
      </w:r>
    </w:p>
    <w:p>
      <w:r>
        <w:t>Unter dem neuen Zollrecht kann eine Berichtigung gemäss Art. 34 Abs. 4 Bst. b ZG aufgrund einer irrtümlich nicht vorgenommenen Anmeldung zum Präferenzzollansatz nur dann erfolgen, wenn das nachträglich eingereichte Ursprungszeugnis als formelle Voraussetzung für die Zollbefreiung bereits zum Zeitpunkt der ursprünglichen Zollanmeldung vorhanden gewesen war. Ursprungszeugnisse, die nach der angenommenen Zollanmeldung und Freigabe der Ware erstellt worden sind, bilden keinen genügenden Ursprungsnachweis (Urteile des BVGer A-6660/2011 vom 29. Mai 2012 E. 3.1, A-3213/2009 vom 7. Juli 2010 E. 2.5, A-3296/2008 vom 22. Oktober 2009 E. 3.1 f. A 1883/2007 vom 4. September 2007 E. 3.2). Es besteht kein Grund, die oben erwähnte konstante Rechtsprechung nicht auf den vorliegenden Fall anzuwenden. Dabei ist unerheblich, dass die erst nachträglich ausgestellten Ersatzursprungszeugnisse auf einem vor der Einfuhr von den Behörden in Kambodscha bzw. Laos ausgestellten Formular A basieren, welches die Beschwerdeführerin in Kopie einreichte. Aufgrund der Missbrauchsgefahr können die entsprechenden Kopien den Ursprungsnachweis von Vornherein nicht erbringen (vgl. entsprechend auch das Merkblatt zur Bestimmung der formellen Gültigkeit von Präferenznachweisen der EZV vom Juli 2014, Ziff. 5.1 [insbesondere wird vorausgesetzt, dass die autorisierte Behörde das Formular A im Original abstempelt und eigenhändig unterschreibt]). Die von der Beschwerdeführerin eingereichten Beweismittel (u.a. die nachträglich erstellten Ersatzursprungszeugnisse, die Formulare A des Ursprungslandes in Kopie, die CL der Lieferanten) stellen zwar in ihrer Gesamtheit durchaus gewichtige Indizien für den behaupteten Ursprung der Ware dar, sie vermögen jedoch den verlangten Nachweis nicht zu erbringen. Gerade im Zollrecht, das ein Massenverfahren darstellt, sind eindeutige Nachweise und klare Regeln notwendig, die einen zeitgerechten Verfahrensablauf ermöglichen. Im Weiteren ist es auch unerheblich, aufgrund welcher näheren Umstände sich die Beschwerdeführerin bei der Zollanmeldung offensichtlich in einem Rechtsirrtum befand und die Präferenzbehandlung nicht geltend gemacht hat. Weil die von der Beschwerdeführerin vorgelegten Ersatzursprungszeugnisse allesamt nach den massgeblichen Einfuhren ausgestellt worden sind, muss eine Berichtigung im Sinne von Art. 34 Abs. 4 Bst. b ZG unterbleiben und müssen die weiteren Voraussetzungen für eine solche nicht mehr näher geprüft werden. Das von der Beschwerdeführerin angerufene Urteil des EuGH vom 6. Februar 2014 (Rechtssache C 613/12) vermag an dieser Beurteilung nichts zu ändern. Zum einen betraf das Urteil das Europa-Mittelmeer-Abkommen mit Ägypten vom 25. Juni 2001 und stützte sich damit auf eine andere Rechtsgrundlage als der vorliegend zu beurteilende Fall. Zum anderen ist die betreffende Rechtsprechung des EuGH für die Schweiz, welche nicht Mitglied der EU ist, ohnehin nicht verbindlich. Es erübrigt sich deshalb, näher darauf einzugehen.</w:t>
      </w:r>
    </w:p>
    <w:p>
      <w:r>
        <w:rPr>
          <w:b/>
        </w:rPr>
        <w:t>E. 5.3.3</w:t>
      </w:r>
    </w:p>
    <w:p>
      <w:r>
        <w:t>Die Beschwerdeführerin wendet ein, es verstosse gegen das Verbot des überspitzten Formalismus (oben E. 4), wenn die Ersatzursprungserzeugnisse nur deshalb nicht berücksichtigt würden, weil diese nach der Einfuhr erstellt worden seien. Dieser Einwand ist nicht stichhaltig. Die oben dargelegte Rechtsprechung, wonach das Ursprungszeugnis vor dem Zeitpunkt der Einfuhr ausgestellt worden sein muss (oben E. 5.2.3), entspricht der im Zollrecht für Deklarationen allgemein sowie für die Beanspruchung von Zollpräferenzen im Besonderen geltenden Formstrenge. Nur eine konsequente und damit einheitliche Handhabung der Regeln der Präferenzveranlagung bzw. der Berichtigung nach Art. 34 Abs. 4 Bst. b ZG, wonach insbesondere die formellen Voraussetzungen für die Präferenzbehandlung bereits im Zeitpunkt der Zollanmeldung vorgelegen haben müssen, vermag in diesem Bereich den Grundsätzen der Rechtssicherheit und Rechtsgleichheit zu genügen.</w:t>
      </w:r>
    </w:p>
    <w:p>
      <w:r>
        <w:rPr>
          <w:b/>
        </w:rPr>
        <w:t>E. 5.3.4</w:t>
      </w:r>
    </w:p>
    <w:p>
      <w:r>
        <w:t>Gestützt auf diese Überlegungen ist die vorliegende Beschwerde auch mit Bezug auf die fünf Einfuhren vom 7. Februar 2014 und damit vollumfänglich abzuweisen.</w:t>
      </w:r>
    </w:p>
    <w:p>
      <w:r>
        <w:rPr>
          <w:b/>
        </w:rPr>
        <w:t>E. 6</w:t>
      </w:r>
    </w:p>
    <w:p>
      <w:r>
        <w:t>Bei diesem Verfahrensausgang hat die Beschwerdeführerin die Verfah-renskosten zu tragen (Art. 63 Abs. 1 VwVG). Diese werden gemäss Art. 63 Abs. 4bis VwVG in Verbindung mit Art. 1 und Art. 4 des Reglements vom 21. Februar 2008 über die Kosten und Entschädigungen vor dem Bundesverwaltungsgericht (VGKE, SR 173.320.2) auf Fr. 6'000.- festgesetzt. Der geleistete Kostenvorschuss ist zur Bezahlung der Verfahrenskosten zu verwenden. Im Weiteren ist der unterliegenden Beschwerdeführerin auch keine Parteientschädigung auszurichten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