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A-5208/2014 vom 12. August 2015</w:t>
      </w:r>
    </w:p>
    <w:p>
      <w:r>
        <w:t>Bundesverwaltungsgericht, 2015-08-12, FR</w:t>
      </w:r>
    </w:p>
    <w:p>
      <w:r>
        <w:rPr>
          <w:b/>
        </w:rPr>
        <w:t xml:space="preserve">Quelle: </w:t>
      </w:r>
      <w:r>
        <w:t>https://mcp.opencaselaw.ch/entscheid/bvger_A-5208_2014</w:t>
      </w:r>
    </w:p>
    <w:p>
      <w:r>
        <w:t>FR: TAF A-5208/2014 du 12 août 2015</w:t>
      </w:r>
    </w:p>
    <w:p>
      <w:r>
        <w:t>IT: TAF A-5208/2014 del 12 agosto 2015</w:t>
      </w:r>
    </w:p>
    <w:p>
      <w:pPr>
        <w:pStyle w:val="Heading2"/>
      </w:pPr>
      <w:r>
        <w:t>Regeste</w:t>
      </w:r>
    </w:p>
    <w:p>
      <w:r>
        <w:t>Rapports de services de droit public de la Confédération (divers)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1.1</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de droit public relevant du droit de la fonction publique. Tel est bien le cas en l'espèce. L'acte attaqué est une constatation individuelle concrète prise en application du droit public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 L'acte attaqué satisfait par ailleurs aux conditions prévalant à la reconnaissance d'une décision au sens de l'art. 5 PA.</w:t>
      </w:r>
    </w:p>
    <w:p>
      <w:r>
        <w:rPr>
          <w:b/>
        </w:rPr>
        <w:t>E. 1.2</w:t>
      </w:r>
    </w:p>
    <w:p>
      <w:r>
        <w:t>Destinataire de la décision attaquée qui l'a débouté de ses conclusions, le recourant est particulièrement atteint et a un intérêt digne de protection à requérir son annulation ou sa modification (art. 48 al. 1 PA). Il a donc qualité pour recourir.</w:t>
      </w:r>
    </w:p>
    <w:p>
      <w:r>
        <w:rPr>
          <w:b/>
        </w:rPr>
        <w:t>E. 1.3</w:t>
      </w:r>
    </w:p>
    <w:p>
      <w:r>
        <w:t>Présenté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En l'espèce, le litige porte sur une différence du dédommagement de 94 fr. 40 par mois (845 fr. 54 - 751 fr. 15) ou 1'132 fr. 80 par année, qui fait suite à la suppression d'une déduction de 10 % de l'indemnité brute relative à "d'autres inconvénients (anciens logements, défauts de construction)", laquelle a été décidée en raison de la pose d'un compteur de chaleur individuel.</w:t>
      </w:r>
    </w:p>
    <w:p>
      <w:r>
        <w:rPr>
          <w:b/>
        </w:rPr>
        <w:t>E. 2.3</w:t>
      </w:r>
    </w:p>
    <w:p>
      <w:r>
        <w:t>Le Tribunal administratif fédéral a entre-temps été saisi de plusieurs recours portant sur l'application de nouvelles directives, entrées en vigueur le 1er janvier 2015, et portant augmentation du dédommagement et des charges à payer pour l'utilisation d'un logement de service par les membres du personnel des gardes-frontière. Dans ce cadre, le recourant a également déposé un recours qui fait actuellement l'objet de la procédure d'instruction A-1236/2015 (cf. consid. D.b ci-avant). Pour des raisons d'économie de procédure, il se justifie de traiter séparément la présente procédure de recours, dont la problématique est différente. En effet, comme on le verra, les directives applicables en l'espèce ont été édictées en 2005, alors que de nouvelles directives de l'Administration fédérale des douanes sont entrées en vigueur le 1er janvier 2015.</w:t>
      </w:r>
    </w:p>
    <w:p>
      <w:r>
        <w:rPr>
          <w:b/>
        </w:rPr>
        <w:t>E. 3</w:t>
      </w:r>
    </w:p>
    <w:p>
      <w:r>
        <w:t>Il convient, au préalable, de déterminer le droit applicable.</w:t>
      </w:r>
    </w:p>
    <w:p>
      <w:r>
        <w:rPr>
          <w:b/>
        </w:rPr>
        <w:t>E. 3.1</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du 3 novembre 1995, publié in : Schweizerisches Zentralblatt für Staats- und Verwaltungsrecht [Zbl] 1997 p. 71 ss et Revue de droit administratif et de droit fiscal [RDAF] 1998 I p. 696 ; arrêt de la Cour de justice de la République et canton de Genève, Chambre d'appel en matière de baux et loyers, 15 juin 1998, D.S. c. SI L.P. publié in : Semaine Judiciaire [SJ] 1999 I 29 ; Sidonie Morvan/David Hofmann, Questions choisies de procédure civile genevoise en matière de baux et loyers, publié in : SJ 2008 II 74 ; Peter Hänni, Das öffentliche Dienstrecht der Schweiz, 2ème éd., 2008, p. 312). Un tel lien étroit doit être reconnu dès lors que le rapport de droit est au service direct du bon accomplissement d'une tâche publique. C'est le critère du but qui est ainsi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Tel est bien le cas en l'espèce. Le logement de service du recourant lui a été unilatéralement attribué pour des motifs qui tiennent au service, soit afin de le mettre en situation de remplir au mieux ses obligations professionnelles au poste de douane adjacent, vu les contraintes liées à sa fonction (services de piquet, tâches de surveillance, etc. ; voir ég. Feuille fédérale [FF] 1999 I 1443). L'utilisation du logement n° (...)/VD est ainsi dans un rapport étroit, direct et fonctionnel avec le service.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w:t>
      </w:r>
    </w:p>
    <w:p>
      <w:r>
        <w:rPr>
          <w:b/>
        </w:rPr>
        <w:t>E. 3.2.1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Ce principe exige qu'il y ait un rapport raisonnable entre le but d'intérêt public poursuivi et le moyen choisi pour l'atteindre, ce qui requiert que la mesure prise soit non seulement apte et nécessaire à cette fin, mais encore qu'elle s'inscrive, au vu de la pesée entre l'intérêt public et l'intérêt privé en cause, dans un rapport raisonnable avec l'atteinte imposée à l'administré (cf. arrêt du Tribunal administratif fédéral A-3114/2014 du 1er juillet 2015 consid. 5.4.1 et réf. cit.).</w:t>
      </w:r>
    </w:p>
    <w:p>
      <w:r>
        <w:rPr>
          <w:b/>
        </w:rPr>
        <w:t>E. 3.2.2</w:t>
      </w:r>
    </w:p>
    <w:p>
      <w:r>
        <w:t>Au titre du droit public applicable en l'espèce,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Ensuite, les départements fixent les modalités dans leur domaine d'activité.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 A cet égard, comme le précise l'art. 59 de l'ordonnance du Département fédéral des finances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O-OPers). Le DFF édicte des directives sur le dédommagement et les charges à payer pour l'utilisation d'un logement de service (art. 59 al. 2 O-OPers).</w:t>
      </w:r>
    </w:p>
    <w:p>
      <w:r>
        <w:rPr>
          <w:b/>
        </w:rPr>
        <w:t>E. 4.1</w:t>
      </w:r>
    </w:p>
    <w:p>
      <w:r>
        <w:t>Dans le cas présent, le recourant relève qu'il s'acquittait d'une indemnité mensuelle nette (751 fr. 15) pour l'usage de son logement de service, et qu'elle tient compte d'une déduction déjà opérée de 10 % de l'indemnité brute, relative à "d'autres inconvénients (anciens logements, défauts de construction)". Il soutient que cette déduction ne présente aucun rapport avec ses frais de chauffage ou, en tout cas, ne saurait avoir été imposée pour le seul motif lié à l'introduction d'un décompte de chauffage individuel. L'autorité inférieure oppose au recourant que cette déduction a été instaurée exclusivement pour tenir compte de l'absence d'un compteur de chaleur individuel et qu'elle était par conséquent en devoir de la supprimer après l'installation d'un tel compteur. Il s'agit d'ailleurs d'une pratique constante, appliquée pour tous ses logements de service.</w:t>
      </w:r>
    </w:p>
    <w:p>
      <w:r>
        <w:rPr>
          <w:b/>
        </w:rPr>
        <w:t>E. 4.2</w:t>
      </w:r>
    </w:p>
    <w:p>
      <w:r>
        <w:t>En prémisse, le Tribunal estime que le cas est clair et ne nécessite pas la production de pièces documentaires complémentaires. Il entend néanmoins insister sur l'importance, pour l'autorité inférieure, de tenir un procès-verbal lorsqu'elle reçoit un administré pour discuter d'un différend susceptible de donner lieu à une procédure contentieuse (art. 29 al. 2 Cst. et art. 29 PA ; ATF 130 II 473 consid. 4 ss). Au vu du dossier remis au Tribunal, il est en effet impossible de reconstituer les propos échangés et les informations communiquées lors des séances, mentionnées par l'autorité inférieure, des 22 avril 2013 et 4 avril 2014.</w:t>
      </w:r>
    </w:p>
    <w:p>
      <w:r>
        <w:rPr>
          <w:b/>
        </w:rPr>
        <w:t>E. 4.3.1</w:t>
      </w:r>
    </w:p>
    <w:p>
      <w:r>
        <w:t>Dans le cas présent, en application de l'art. 59 al. 2 O-OPers (cf. consid. 3.2.2 ci-avant), le DFF a édicté, le 21 février 2005, des directives sur le dédommagement et les charges à payer pour l'utilisation d'un logement de service. Ces directives sont applicables aux logements de service des unités de l'administration fédérale mentionnées à l'art. 1 OPers, dont le corps des gardes-frontière, et prévoient qu'il faut en principe faire payer les charges effectives de chauffage (cf. chiffre 5 "Charges"). Si leur répartition se révèle impossible, il est notamment fait usage d'un forfait (cf. chiffre 5.1 ; soit 905 francs pour un quatre pièces). Ces éléments ont été intégralement repris dans les instructions du 1er janvier 2009 rédigées par la Direction générale des douanes (cf. chiffre 2.23 ; pièce n° 3 du bordereau de l'autorité inférieure). Dans ces circonstances, le Tribunal tient pour constant que, comme l'a souligné de manière convaincante l'autorité inférieure, le recourant a bénéficié ces dernières années d'une déduction sur son indemnité brute pour tenir compte des défauts de situation, d'isolation et de la consommation des autres bâtiments (cf. chiffre 2.13 des instructions du 1er janvier 2009), et que la clé de répartition se basait sur des valeurs éprouvées sur plusieurs années. L'ensemble des immeubles des gardes-frontière non équipés de compteurs de chaleur individuels et dont le chauffage dessert à la fois des locaux administratifs et des locaux d'habitation bénéficieraient d'ailleurs d'une telle réduction (cf. réponse de l'autorité inférieure, p. 2). Ainsi, sur la base des décomptes de chauffage qu'il a produits, le recourant a bénéficié d'une situation plus favorable que celle d'un forfait. La solution arrêtée par l'autorité inférieure avait en outre l'avantage de la simplicité (répartition selon la superficie, couplée à une déduction de 10 % de l'indemnité brute) et lui évitait de procéder à des analyses dispendieuses pour évaluer les dépenses énergétiques des locaux de service. En accordant au recourant une déduction de l'ordre de 1'063 francs par année, soit la déduction maximale permise en l'espèce par les instructions (cf. chiffres 2.13 et 4.2), elle s'assurait en particulier de ne pas prétériter les intérêts financiers de son agent. Cette situation a néanmoins pris fin avec l'installation d'un appareil de mesure pour le décompte individuel des frais de chauffage (compteur individuel), à la demande du recourant, et on ne saurait à cet égard faire grief à l'autorité inférieure d'appliquer, à cette nouvelle situation, les directives et les instructions auxquelles elle est soumise. Elles sont d'ailleurs conformes au droit fédéral, dès lors qu'elles imposent à l'autorité de s'assurer que le recourant s'acquitte des seuls frais effectifs (cf. chiffre 2.23 des instructions).</w:t>
      </w:r>
    </w:p>
    <w:p>
      <w:r>
        <w:rPr>
          <w:b/>
        </w:rPr>
        <w:t>E. 4.3.2</w:t>
      </w:r>
    </w:p>
    <w:p>
      <w:r>
        <w:t>Enfin, s'agissant de la quotité de la déduction opérée jusqu'à présent (10 %, soit le maximum prévu par les instructions [chiffre 2.13]), le Tribunal entend rappeler ici que l'estimation des logements de service s'appuie sur des paramètres qui ne peuvent pas être artificiellement isolés, mais doivent au contraire être envisagés dans toute la globalité du système qu'ils composent (cf. décision CRP du 15 février 2001 précitée consid. 5d). Les inconvénients mineurs ne sont ainsi pas pris en considération (cf. chiffre 2.14 des instructions). Or le recourant ne fait état d'aucun élément tangible qui pourrait mettre en doute qu'il a souffert jusqu'à présent d'un autre inconvénient, lié au mode de construction de son logement, que celui dû à l'absence d'un compteur individuel. Au vu de la modicité des sommes en jeu, on devait d'ailleurs attendre de lui, au vu de son obligation de collaborer à la procédure, qu'il apporte à ce propos une motivation précise et documentée. Or il s'est limité à affirmer que, "[q]uand bien même l'absence de compteur constituerait un inconvénient, il s'agirait d'un inconvénient parmi d'autres car la valeur de 10 % constitue le plafond supérieur". A cet égard, il perd de vue que l'autorité inférieure lui a constamment assuré que cette déduction avait été portée à son maximum, selon sa pratique, pour tenir compte de la présence des locaux de service, et qu'il n'était pas nécessairement dans son intérêt financier de requérir l'installation d'un compteur individuel.</w:t>
      </w:r>
    </w:p>
    <w:p>
      <w:r>
        <w:rPr>
          <w:b/>
        </w:rPr>
        <w:t>E. 4.4</w:t>
      </w:r>
    </w:p>
    <w:p>
      <w:r>
        <w:t>Au vu de ce qui précède, le Tribunal retient que la suppression de la déduction de 10 % relative à "d'autres inconvénients (anciens logements, défauts de construction)" est conforme au droit fédéral. Elle est apte et nécessaire à maintenir une égalité de traitement entre l'ensemble des agents soumis aux mêmes instructions de service, et elle respecte l'exigence de proportionnalité au sens étroit. Il faut d'ailleurs souligner qu'un décompte effectif des charges accessoires est le moyen qui, en permettant de traiter différemment ce qui est différent, remplit au mieux l'exigence de l'égalité de traitement (cf. décision CRP du 15 février 2001 précitée consid. 5e). Compte tenu de la retenue qui s'impose dans ce domaine, cette suppression s'avère également opportune.</w:t>
      </w:r>
    </w:p>
    <w:p>
      <w:r>
        <w:rPr>
          <w:b/>
        </w:rPr>
        <w:t>E. 5</w:t>
      </w:r>
    </w:p>
    <w:p>
      <w:r>
        <w:t>Il s'ensuit que la décision attaquée est conforme au droit et que le recours, mal fondé, doit être rejeté.</w:t>
      </w:r>
    </w:p>
    <w:p>
      <w:r>
        <w:rPr>
          <w:b/>
        </w:rPr>
        <w:t>E. 5.1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5.2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