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A-5175/2015 vom 1. März 2016</w:t>
      </w:r>
    </w:p>
    <w:p>
      <w:r>
        <w:t>Bundesverwaltungsgericht, 2016-03-01, DE</w:t>
      </w:r>
    </w:p>
    <w:p>
      <w:r>
        <w:rPr>
          <w:b/>
        </w:rPr>
        <w:t xml:space="preserve">Quelle: </w:t>
      </w:r>
      <w:r>
        <w:t>https://mcp.opencaselaw.ch/entscheid/bvger_A-5175_2015</w:t>
      </w:r>
    </w:p>
    <w:p>
      <w:r>
        <w:t>FR: TAF A-5175/2015 du 1 mars 2016</w:t>
      </w:r>
    </w:p>
    <w:p>
      <w:r>
        <w:t>IT: TAF A-5175/2015 del 1 marzo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22. Juli 2015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BVGer A 2473/2014 vom 13. März 2015 E. 1.2, mit Hinweisen; vgl. auch Urteil des BGer 2C_842/2014 vom 17. Februar 2015 E. 5 und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1.3.1</w:t>
      </w:r>
    </w:p>
    <w:p>
      <w:r>
        <w:t>Am 1. Januar 2010 ist das (neue)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(und bis Ende 2009 in Kraft stehenden) Bundesgesetz vom 2. September 1999 über die Mehrwertsteuer (aMWSTG, AS 2000 1300) sowie der dazugehörigen Verordnung vom 29. März 2000 (aMWSTGV, AS 2000 1347).</w:t>
      </w:r>
    </w:p>
    <w:p>
      <w:r>
        <w:rPr>
          <w:b/>
        </w:rPr>
        <w:t>E. 1.3.2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 1113/2009 vom 23. Februar 2010 E. 1.3).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Bezugssteuer" stehen (statt vieler: Urteile des BVGer A 4506/2011 vom 30. April 2012 E. 1.3 und A 2998/2009 vom 11. November 2010 E. 1.2). Hingegen kann unter anderem Art. 81 MWSTG unter die von Art. 113 Abs. 3 MWSTG anvisierten Verfahrensbestimmungen subsumiert werden (zum Ganzen: Urteil des BVGer A 4566/2014 vom 9. Juni 2015 E. 1.3.2, mit weiteren Hinweisen; Pascal Mollard et al., Traité TVA, 2009, S. 1235 Rz. 670).</w:t>
      </w:r>
    </w:p>
    <w:p>
      <w:r>
        <w:rPr>
          <w:b/>
        </w:rPr>
        <w:t>E. 1.4</w:t>
      </w:r>
    </w:p>
    <w:p>
      <w:r>
        <w:t>Im Verwaltungsverfahren und in der Verwaltungsrechtspflege gilt der Untersuchungsgrundsatz, wonach die Behörde den rechtserheblichen Sachverhalt von Amtes wegen festzustellen hat (Art. 12 VwVG). Diese Vorschrift gilt nunmehr ausdrücklich auch im Mehrwertsteuerrecht, da nach Art. 81 Abs. 1 MWSTG der Vorbehalt für Steuerverfahren gemäss Art. 2 Abs. 1 VwVG auf das Mehrwertsteuerrecht keine Anwendung mehr findet (vgl. E. 1.3.2).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Urteile des BVGer A 4566/2014 vom 9. Juni 2015 E. 1.4 und A 665/2013 vom 10. Oktober 2013 E. 1.4, mit weiteren Hinweisen; vgl. auch BLUMENSTEIN/LOCHER, System des schweizerischen Steuerrechts, 6. Aufl. 2002, S. 454).</w:t>
      </w:r>
    </w:p>
    <w:p>
      <w:r>
        <w:rPr>
          <w:b/>
        </w:rPr>
        <w:t>E. 2.1</w:t>
      </w:r>
    </w:p>
    <w:p>
      <w:r>
        <w:t>Der Mehrwertsteuer unterliegen die im Inland gegen Entgelt erbrachten Lieferungen von Gegenständen und Dienstleistungen (Art. 5 Bst. a und b aMWSTG), sofern sie nicht ausdrücklich von der Steuer ausgenommen sind.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2.3</w:t>
      </w:r>
    </w:p>
    <w:p>
      <w:r>
        <w:t>Die Mehrwertsteuer wird vom Entgelt berechnet. Dazu gehört alles, was der Leistungsempfänger (oder ein Dritter für ihn) als Gegenleistung für die Lieferung oder Dienstleistung aufwendet (Art. 33 Abs. 1 und 2 aMWSTG).</w:t>
      </w:r>
    </w:p>
    <w:p>
      <w:r>
        <w:rPr>
          <w:b/>
        </w:rPr>
        <w:t>E. 2.4.1</w:t>
      </w:r>
    </w:p>
    <w:p>
      <w:r>
        <w:t>Die Veranlagung und Entrichtung der Mehrwertsteuer erfolgt nach dem Selbstveranlagungsprinzip (Art. 46 f. aMWSTG; vgl. Urteil des BGer 2C_356/2008 vom 21. November 2008 E. 3.2; Urteil des BVGer A 5312/2008 vom 19. Mai 2010 E. 2; Blumenstein/Locher, a.a.O.,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BGer 2C_356/2008 vom 21. November 2008 E. 3.2 und 2A.109/2005 vom 10. März 2006 E. 2.1; statt vieler: Urteil des BVGer A 665/2013 vom 10. Oktober 2013 E. 2.3).</w:t>
      </w:r>
    </w:p>
    <w:p>
      <w:r>
        <w:rPr>
          <w:b/>
        </w:rPr>
        <w:t>E. 2.4.2</w:t>
      </w:r>
    </w:p>
    <w:p>
      <w:r>
        <w:t>Zu den Obliegenheiten der mehrwertsteuerpflichtigen Person gehört insbesondere auch die Buchführungspflicht. Der Mehrwertsteuerpflichtige hat seine Geschäftsbücher ordnungsgemäss zu führen und so einzurichten, dass sich aus ihnen sowohl die für die Feststellung der Mehrwertsteuerpflicht als auch die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(je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 Rz. 890 und 893 ff.; vgl. Urteil des BGer 2C_356/2008 vom 21. November 2008 E. 3.3; statt vieler: Urteile des BVGer A 665/2013 vom 10. Oktober 2013 E. 2.4.1, mit weiteren Hinweisen und A 6180/2012 vom 3. September 2013 E. 2.7.2).</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BGer 2C_970/2012 vom 1. April 2013 E. 4.1).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zum Ganzen: Urteil des BVGer A 665/2013 vom 10. Oktober 2013 E. 2.5.1).</w:t>
      </w:r>
    </w:p>
    <w:p>
      <w:r>
        <w:rPr>
          <w:b/>
        </w:rPr>
        <w:t>E. 2.5.2</w:t>
      </w:r>
    </w:p>
    <w:p>
      <w:r>
        <w:t>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BGer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Urteile des BVGer A 4566/2014 vom 9. Juni 2015 E. 3.5.2, A 665/2013 vom 10. Oktober 2013 E. 2.5.2 und A 4922/2012 vom 14. Juni 2013 E. 2.5.2, mit Hinweisen).</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2A.552/2006 vom 1. Februar 2007 E. 3.2; Urteile des BVGer A 665/2013 vom 10. Oktober 2013 E. 2.6.1 und A 4922/2012 vom 14. Juni 2013 E. 2.6.1).</w:t>
      </w:r>
    </w:p>
    <w:p>
      <w:r>
        <w:rPr>
          <w:b/>
        </w:rPr>
        <w:t>E. 2.6.2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2C_1078/2012 vom 24. Mai 2014 E. 2.3 und 2C_970/2012 vom 1. April 2013 E. 4.1).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so schon Dieter Metzger, Kurzkommentar zum Mehrwertsteuergesetz, 2000, S. 190 Rz. 1 ff.). Die ESTV ist gehalten, eine wirklichkeitsnahe Lösung zu treffen, bei welcher schlüssige Anhaltspunkte für das Vorhandensein der von der ESTV angenommenen Faktoren vorliegen und die Schätzung somit einen hohen Grad an Wahrscheinlichkeit für sich hat (statt vieler: Urteil des BVGer A 6001/2011 vom 21. Mai 2013 E. 2.4.1).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 665/2013 vom 10. Oktober 2013 E. 2.6.2 und A 4922/2012 vom 14. Juni 2013 E. 2.6.2, mit weiteren Hinweisen; Mollard, a.a.O., S. 530 ff.).</w:t>
      </w:r>
    </w:p>
    <w:p>
      <w:r>
        <w:rPr>
          <w:b/>
        </w:rPr>
        <w:t>E. 2.7</w:t>
      </w:r>
    </w:p>
    <w:p>
      <w:r>
        <w:t>Die Vorinstanz zieht bei ihrer Arbeit Erfahrungszahlen heran, sei es im Rahmen der Prüfung der Voraussetzungen der Ermessensveranlagung als solcher oder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(Zweifel/Hunziker, Beweis und Beweislast im Steuerverfahren bei der Prüfung von Leistung und Gegenleistung unter dem Gesichtswinkel des Drittvergleichs [«dealing at arm's length»], veröffentlicht in: ASA 77 S. 658 ff., 665, 679, mit Hinweisen; Urteile des BVGer A 565/2014 vom 27. August 2014 E. 2.10.1 und A 665/2013 vom 10. Oktober 2013 E. 2.7.1).</w:t>
      </w:r>
    </w:p>
    <w:p>
      <w:r>
        <w:rPr>
          <w:b/>
        </w:rPr>
        <w:t>E. 2.7.2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statt vieler: Urteile des BVGer A 565/2014 vom 27. August 2014 E. 2.10.2 und A 665/2013 vom 10. Oktober 2013 E. 2.7.2, mit weiteren Hinweisen).</w:t>
      </w:r>
    </w:p>
    <w:p>
      <w:r>
        <w:rPr>
          <w:b/>
        </w:rPr>
        <w:t>E. 2.7.3</w:t>
      </w:r>
    </w:p>
    <w:p>
      <w:r>
        <w:t>Aus der Begründungspflicht folgt, dass die Steuerbehörde der steuerpflichtigen Person die Grundlagen der Erfahrungszahlen kundzugeben hat (Zweifel/Hunziker, a.a.O., S. 682 f., mit zahlreichen Hinweisen).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BGer 2A.284/2000 vom 5. Dezember 2000 E. 3, mit Hinweisen; Urteile des BVGer A 565/2014 vom 27. August 2014 E. 2.10.3 und A 665/2013 vom 10. Oktober 2013 E. 2.7.3).</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BGer vom 4. Mai 1983, veröffentlicht in: ASA 52 S. 234 E. 4). Inwiefern die Verwaltung ihr Ermessen ausgeübt hat, ist in der Entscheidbegründung darzulegen (zum Ganzen: BVGE 2009/60 E. 2.8.4; statt vieler: Urteile des BVGer A 565/2014 vom 27. August 2014 E. 2.10.4 und A 665/2013 vom 10. Oktober 2013 E. 2.7.4, mit weiteren Hinweisen).</w:t>
      </w:r>
    </w:p>
    <w:p>
      <w:r>
        <w:rPr>
          <w:b/>
        </w:rPr>
        <w:t>E. 2.8.1</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6. Aufl. 2010, Rz. 1758 ff.).</w:t>
      </w:r>
    </w:p>
    <w:p>
      <w:r>
        <w:rPr>
          <w:b/>
        </w:rPr>
        <w:t>E. 2.8.2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BVGer A 665/2013 vom 10. Oktober 2013 E. 2.8.2, mit weiteren Hinweisen). Diese Praxis wurde vom Bundesgericht bestätigt (vgl. bereits Urteil des BGer 2C_426/2007 vom 22. November 2007 E. 4.3, ferner: Urteil des BGer 2C_970/2012 vom 1. April 2013 E. 4.3).</w:t>
      </w:r>
    </w:p>
    <w:p>
      <w:r>
        <w:rPr>
          <w:b/>
        </w:rPr>
        <w:t>E. 2.8.3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2.8.2) vorzunehmenden Prüfung als pflichtwidrig, obliegt es - in Umkehr der allgemeinen Beweislast - der steuerpflichtigen Person, den Nachweis für die Unrichtigkeit der Schätzung zu erbringen (vgl. statt vieler: Urteile des BGer 2C_1078/2012 vom 24. Mai 2014 E. 2.5 und 2C_970/2012 vom 1. April 2013 E. 4.2; Urteile des BVGer A 4566/2014 vom 9. Juni 2015 E. 3.7.3 und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BGer 2C_970/2012 vom 1. April 2013 E. 4.3).</w:t>
      </w:r>
    </w:p>
    <w:p>
      <w:r>
        <w:rPr>
          <w:b/>
        </w:rPr>
        <w:t>E. 3</w:t>
      </w:r>
    </w:p>
    <w:p>
      <w:r>
        <w:t>Im vorliegenden Fall hat die Vorinstanz die Umsätze des Beschwerdeführers in seinem Restaurant "B._______" in (Ort) ([Kanton]) in der massgebenden Zeit vom 1. Januar 2008 bis 31. Dezember 2009 ermessensweise ermittelt. In einem ersten Schritt ist darüber zu befinden, ob es der Vorinstanz im zweiten Anlauf gelingt, das Vorliegen der Voraussetzungen zur Vornahme einer Ermessenseinschätzung aufzuzeigen (nachfolgend E. 3.1 f.). Ist dies zu bejahen, war die Vorinstanz nicht nur berechtigt, sondern vielmehr verpflichtet, eine solche Einschätzung vorzunehmen (E. 2.6.1). Diesfalls ist - mit der gebotenen Zurückhaltung (E. 2.8.2) - zu prüfen, ob bei der fraglichen Schätzung ein Ermessensfehler der Vorinstanz erkennbar ist (vgl. E. 4.1-4.3). Ist derlei zu verneinen, bleibt die Prüfung, ob es dem Beschwerdeführer nachzuweisen gelingt, dass die Schätzung offensichtlich unrichtig ist bzw. dass der Vorinstanz dabei erhebliche Ermessensfehler unterlaufen sind (E. 4.4).</w:t>
      </w:r>
    </w:p>
    <w:p>
      <w:r>
        <w:rPr>
          <w:b/>
        </w:rPr>
        <w:t>E. 3.1</w:t>
      </w:r>
    </w:p>
    <w:p>
      <w:r>
        <w:t>Der Beschwerdeführer macht geltend, unter Berücksichtigung der von der Vorinstanz selbst anerkannten "besonderen Umstände" reduziere sich die Summe der Materialeinkäufe auf Fr. 235'152.--. Gemessen an seinem in der Erfolgsrechnung deklarierten Umsatz ergebe sich ein Materialanteil von 38.4 %, welcher substantiell besser bzw. fast gleich sei gegenüber den schlechtesten Werten aller von der Vorinstanz ins Feld geführten Erfahrungszahlen. Letztlich bleibe kein Raum für eine Ermessenseinschätzung, da diese bei formell einwandfreien Geschäftsbüchern nur dann zulässig sei, wenn zwischen diesen und den Erfahrungswerten ein Unterschied bestehe, der aus den konkreten Umständen nicht zu erklären sei. Die von der Vorinstanz anerkannten besonderen Umstände und die Tatsache, dass sich die Kontrolle auf einen neueröffneten Betrieb bezogen habe, würden aber eine hinreichende und "glaubwürdige" Erklärung für den festgestellten Unterschied ergeben (Sachverhalt Bst. G). Die Vorinstanz entgegnet, die Prüfung der Voraussetzungen für eine Ermessenseinschätzung allein aufgrund des "neu" berechneten Materialanteils vorzunehmen, sei weder vorgegeben noch intendiert. Einzubeziehen seien sämtliche, ihr bekannte Indizien und damit auch der Zuschlagssatz für die Küche. Ein Materialanteil von 39.5 % sei das Ergebnis von sehr tiefen Zuschlagsätzen über alle Sparten hinweg (Getränke und Küche). Der Beschwerdeführer weise aber deutlich höhere Zuschlagssätze bei den Getränken aus [als beim besagten Minimalwert mit einem Materialanteil von 39.5 %]. Es widerspreche somit dem gesunden Menschenverstand, dass der Zuschlagssatz bei der Küche klar unter dem minimalen Wert liegen solle. Ein Zuschlagssatz auf der Küche von 53 % könne nicht die Realität widerspiegeln; die ausgewiesenen Ergebnisse stimmten nicht mit dem wirklichen Sachverhalt überein. Da die Warenverluste berücksichtigt und die Einzelkalkulationen für die Getränke gemacht worden seien, könne die Beurteilung, ob die Voraussetzungen für die Ermessenseinschätzung erfüllt seien, logischerweise nur über das Residuum - den Zuschlagssatz Küche - erfolgen (Sachverhalt Bst. H).</w:t>
      </w:r>
    </w:p>
    <w:p>
      <w:r>
        <w:rPr>
          <w:b/>
        </w:rPr>
        <w:t>E. 3.2</w:t>
      </w:r>
    </w:p>
    <w:p>
      <w:r>
        <w:t>Es ist mit der Vorinstanz einig zu gehen, dass für die Prüfung der Voraussetzungen einer Ermessenseinschätzung keine konkrete Berechnungsart vorgegeben ist. Letztlich ist diese Frage einzelfallbezogen zu beantworten und diejenige Methode zu wählen, die den individuellen Verhältnissen im Betrieb der steuerpflichtigen Person soweit als möglich Rechnung trägt, auf plausiblen Annahmen beruht und deren Ergebnis der wirklichen Situation möglichst nahe kommt (E. 2.6.2). Das Kriterium "Materialanteil in %" resultiert vorliegend aus dem Verhältnis (bereinigte) Lebensmittel- und Getränkeeinkäufe zum Gesamtumsatz des Betriebs des Beschwerdeführers. Zwar stellt sich der Beschwerdeführer auf den Standpunkt, die Vorinstanz nehme die Zuschlagssätze für die Getränke [aus welchem sich letztlich der Getränkeumsatz als Teil des Gesamtumsatzes des Betriebes ergebe] als "sacrosanct" gegeben an, obwohl auch diese bloss ermessensweise festgelegt worden seien, da für seinen Betrieb keine detaillierten Informationen für die Zuschlagssätze nach Sparten gegeben seien. Die Zuschlagssätze für die verschiedenen Getränkearten konnten durch die Vorinstanz jedoch mittels der Einkaufspreise bzw. Lieferantenrechnungen und der Verkaufspreise anhand der Speisekarte ermittelt werden (ausser für die Sparte Kaffee) und stammen somit aus den brauchbaren Teilen der Buchhaltung und den Belegen des Beschwerdeführers. Dass sich die Vorinstanz vorliegend für die Prüfung der Voraussetzungen einer Ermessenseinschätzung auf das detailliertere Kriterium "Zuschlagssätze in %" als Einzelkalkulation, bei welchem sie sich - ausser bei der Küche und dem Kaffee - auf Teile der Buchhaltung bzw. Belege des Beschwerdeführers stützen konnte, abstützt, ist nicht zu beanstanden. Wie gesagt, handelt es sich bei dem "Materialanteil in %" um eine Relation der Einkäufe von Lebensmitteln und Getränken zum Gesamtumsatz. Ein Blick auf die Erfahrungszahlen zeigt, dass der "Materialanteil in %" sogar bei sehr tiefen Zuschlagssätzen über alle Sparten wie Lebensmittel und Getränkesorten hinweg mit 39.5 % lediglich unwesentlich vom Mittelwert in Höhe von 32.1 % abweicht. Dies lässt vermuten, dass das Kriterium "Materialanteil in %" in vorliegender Konstellation nicht sehr aussagekräftig und repräsentativ ist. Daran vermag auch der Einwand des Beschwerdeführers, es sei unverständlich, dass die Neubeurteilung nicht anhand des Materialeinsatzes vorgenommen worden sei, da nicht für alle Betriebe, für welche der Materialaufwand bzw. der Bruttogewinn vorliegen würden, auch detaillierte Informationen - wie die Zuschlagssätze nach Sparten - vorhanden seien, nichts zu ändern (Beschwerde vom 25. August 2015, S. 7, Rz. 10). Wie nachfolgend unter E. 4.3.2 zu zeigen sein wird, kann sich die Vorinstanz auch bei den "Zuschlagssätzen in %" auf eine breit abgestützte Anzahl von Betrieben berufen. Im Übrigen beträgt der [ursprüngliche, nicht bereinigte] "Materialanteil in %" gemäss den Geschäftsbüchern des Beschwerdeführers 49 %. Des Weiteren hat der Beschwerdeführer das Total der um weitere 30 % bereinigten Lebensmitteleinkäufe in Höhe von Fr. 128'329.-- nicht bestritten (nachfolgend: E. 4.3.1). Ausgehend hiervon ergibt sich ein "Zuschlagssatz Küche" in Höhe von 53 % als Relation der bereinigten Lebensmitteleinkäufe zum geschätzten Küchenumsatz, welcher seinerseits aus der Differenz des Gesamtumsatzes anhand der Erfolgsrechnung und dem Getränkeumsatz, der sich - wie gesagt - grösstenteils anhand der Belege des Beschwerdeführers eruieren liess, resultiert. Dieser "Zuschlagssatz Küche" in Höhe von 53 % weicht nun aber wesentlich vom anhand von Erfahrungswerten nach Landgasthöfen ermittelten Mittelwert in Höhe von 184 % ab. Er ist sogar wesentlich kleiner als der Minimalwert von 90 %, trotz der von der ESTV zugunsten des Beschwerdeführers um weitere 30 % einberechneten Warenverluste. Es ist angesichts des Umstandes, dass sich die ausgewiesenen Ergebnisse immer noch nicht innerhalb der Bandbreite der vergleichbaren Betriebe befinden, nicht zu beanstanden, wenn die ESTV von fehlender Übereinstimmung mit dem wirklichen Sachverhalt ausgeht. Es gelingt der Vorinstanz auch, die Voraussetzungen für eine Ermessenseinschätzung rechtsgenüglich aufzuzeigen. Sie war somit nicht nur berechtigt, sondern verpflichtet, eine solche nach pflichtgemässem Ermessen vorzunehmen (E. 2.6.1).</w:t>
      </w:r>
    </w:p>
    <w:p>
      <w:r>
        <w:rPr>
          <w:b/>
        </w:rPr>
        <w:t>E. 4</w:t>
      </w:r>
    </w:p>
    <w:p>
      <w:r>
        <w:t>Zu prüfen ist nun, ob die fragliche Schätzung der Vorinstanz als nicht pflichtwidrig erfolgt gelten kann.</w:t>
      </w:r>
    </w:p>
    <w:p>
      <w:r>
        <w:rPr>
          <w:b/>
        </w:rPr>
        <w:t>E. 4.1</w:t>
      </w:r>
    </w:p>
    <w:p>
      <w:r>
        <w:t>Die Vorinstanz bereinigte im Rahmen ihrer Neubeurteilung als erstes (I) die Einkäufe um die bei einem Restaurationsbetrieb üblich auftretenden Warenverluste (Schankverluste und verdorbene Ware) sowie um die Verluste infolge Misswirtschaft; für die Getränke in Höhe von 10 % und für die Küche in Höhe von 30 %. Danach (II) berechnete sie die Zuschlagssätze für die verschiedenen Getränkearten mittels der Einkaufs- und Verkaufspreise gemäss der Buchhaltung des Beschwerdeführers (E. 3.2). Den "Zuschlagssatz Kaffee" konnte die Vorinstanz nicht anhand von Unterlagen des Beschwerdeführers berechnen und entnahm ihn den Auswertungen der Landgasthöfe im (Kanton). Da lediglich vier Betriebe zur Verfügung standen, entschied sie sich für den abgerundeten Minimalwert (nachfolgend: E. 4.3.3). Anhand der bereinigten Einkäufe und der Zuschlagssätze für die Getränke konnte der (III) Getränkeumsatz errechnet werden, welcher in Differenz (IV) zum verbuchten Umsatz den Küchenumsatz ergab. Den "Zuschlagssatz Küche" ergab sich - wie gesagt - als Relation zwischen den bereinigten Lebensmitteleinkäufen und dem geschätzten Küchenumsatz.</w:t>
      </w:r>
    </w:p>
    <w:p>
      <w:r>
        <w:rPr>
          <w:b/>
        </w:rPr>
        <w:t>E. 4.2</w:t>
      </w:r>
    </w:p>
    <w:p>
      <w:r>
        <w:t>Da die Vorinstanz den auf diese Weise errechneten "Zuschlagssatz Küche" in der Höhe von lediglich 53 % als sehr unrealistisch deutete (vgl. oben E. 3.2), entschied sie sich für den abgerundeten Mittelwert der Landgasthöfe in Höhe von 184 %, woraus letztlich ein um Fr. 169'053.-- höherer Küchenumsatz bzw. Gesamtumsatz resultierte.</w:t>
      </w:r>
    </w:p>
    <w:p>
      <w:r>
        <w:rPr>
          <w:b/>
        </w:rPr>
        <w:t>E. 4.3</w:t>
      </w:r>
    </w:p>
    <w:p>
      <w:r>
        <w:t>Die Vorinstanz stützte sich bei ihrer Berechnung soweit möglich auf die vorhandenen Beweismittel. Ihre Schätzung erscheint im Rahmen einer vom Bundesverwaltungsgericht unter der gebotenen Zurückhaltung vorgenommenen Prüfung nicht als pflichtwidrig:</w:t>
      </w:r>
    </w:p>
    <w:p>
      <w:r>
        <w:rPr>
          <w:b/>
        </w:rPr>
        <w:t>E. 4.3.1</w:t>
      </w:r>
    </w:p>
    <w:p>
      <w:r>
        <w:t>Die Vorinstanz berechnete einen zusätzlichen Warenverlust von insgesamt 30 % aufgrund von verdorbenen Waren in Höhe von 5 % und "Misswirtschaft infolge Naivität" von 25 % ein. Sie brachte diesen von den Lebensmitteleinkäufen gemäss der Erfolgsrechnung des Beschwerdeführers in Abzug, womit ein (unbestrittener) angepasster Lebensmittelaufwand von Total Fr. 128'329.-- resultierte (E. 3.2).</w:t>
      </w:r>
    </w:p>
    <w:p>
      <w:r>
        <w:rPr>
          <w:b/>
        </w:rPr>
        <w:t>E. 4.3.2</w:t>
      </w:r>
    </w:p>
    <w:p>
      <w:r>
        <w:t>Die vorinstanzliche Ermittlung des "Zuschlagsatzes Küche in %" in Höhe von 185 % erscheint ebenso wenig als offensichtlich pflichtwidrig: Wie gezeigt (E. 3.2), erweist sich die detailliertere Einzelkalkulation "Zuschlagssätze in %" vorliegend als durchaus einsetzbare Methode, um den individuellen Verhältnissen im Betrieb des Beschwerdeführers soweit als möglich Rechnung zu tragen. Die Vorinstanz stellt beim "Zuschlagsatz Küche in %" auf den abgerundeten Mittelwert der Landgasthöfe ab, welcher aus 126 Betrieben resultiert, mit einem Durchschnitt von 188.4 %, einem Maximalwert von 403,6 % und einem Minimum von 88.3 % ("Einspracheentscheid" vom 22. Juli 2015, S. 14, E. 2.2.2.4) bzw. auf Erfahrungswerte nach Landgasthöfen von 71 Betrieben, für welche sowohl Kennzahlen "Materialanteil" als auch sämtliche "Zuschlagssätze" nach Sparten vorlagen (Durchschnittswert von 184 %, Maximalwert von 314 % und Minimalwert von 90 %; Vernehmlassung vom 5. Oktober 2015, S. 2). Die Vorinstanz entschied sich dabei nicht für den Minimalwert, da sie bei ihren Berechnungen bereits (zusätzliche) Warenverluste von 30 % für Lebensmittel berücksichtigt habe. Da die Auswertung der (Kanton) Landgasthöfe mit lediglich vier Betrieben nicht als repräsentativ erachtet wurde, entschied sich die Vorinstanz für die Erfahrungszahlen der Landgasthöfe in der gesamten Schweiz ("Einspracheentscheid" vom 22. Juli 2015, S. 14 f., E. 2.2.2.4). Des Weiteren begründet die Vorinstanz die Wahl, bei ihrer Neuberechnung nunmehr auf die Erfahrungszahlen der Landgasthöfe abzustellen damit, dass sich weder das Menuangebot noch die Preise (auf Speisekarte im mittleren Preissegment) des Betriebes des Beschwerdeführers auf dem Niveau eines Gourmetrestaurants bewegten und auch die Lage nicht einem solchen entspreche (Vernehmlassung vom 5. Oktober 2015, S. 2; "Einspracheentscheid" vom 22. Juli 2015, S. 10, E. 2.2.2.1). Die Vorinstanz zieht bei ihrer Neubeurteilung zum Vergleich eine breit abgestützte Anzahl von 126 bzw. 71 Betrieben hinzu. Sie zeigt nachvollziehbar auf, aus welchen Gründen - wie Angebot, Preise und Lage - sie sich für die Erfahrungszahlen nach Landgasthöfen entschied und jene von Gourmetrestaurants nur am Rande konsultierte. Zudem hat sie sich richtigerweise dafür entschieden, nicht mehr nur noch auf die Mittelwerte abzustellen, sondern auf die Minimal- und Maximalwerte. Dies insofern, weil als Massstab die gesamtschweizerischen Branchenzahlen dienen und die gesamte Bandbreite (zwischen Minimal- und Maximalwert) der Erfahrungszahl zu beachten ist (vgl. E. 2.7.4). Es ist in Anbetracht dessen, dass die Vorinstanz bei der Berechnung des Materialaufwandes zusätzliche Warenverluste von 30 % für die Küche miteinbezog, auch nicht zu beanstanden, dass die Vorinstanz den Mittelwert - und nicht den Minimalwert - ihrer Ermessenseinschätzung zugrunde gelegt hat. Insgesamt erscheint der "Zuschlagsatz Küche in %" in Höhe von 185 % als durchaus sachgerecht.</w:t>
      </w:r>
    </w:p>
    <w:p>
      <w:r>
        <w:rPr>
          <w:b/>
        </w:rPr>
        <w:t>E. 4.3.3</w:t>
      </w:r>
    </w:p>
    <w:p>
      <w:r>
        <w:t>Gleiches muss auch für die vorinstanzliche Ermittlung des "Zuschlagssatzes Kaffee" in Höhe von 900 % gelten; auch diese erscheint nicht als offensichtlich pflichtwidrig: Wie gesehen (E. 4.1), konnte die Vorinstanz den "Zuschlagssatz Kaffee" nicht anhand von Unterlagen des Beschwerdeführers berechnen und entnahm ihn den Auswertungen der Landgasthöfe im (Kanton). Es seien lediglich vier Betriebe zur Verfügung gestanden, weshalb sie sich für den abgerundeten Minimalwert entschieden habe. Dass die Vorinstanz sich auf die Erfahrungszahlen der Landgasthöfe stützte, hat - wie bereits dargelegt (E. 4.3.2) - seine Berechtigung. Hinsichtlich des Kaffees kann sie jedoch nicht auf eine breit abgestützte Anzahl von Betrieben zurückgreifen. Da sie in Anbetracht dessen jedoch einen abgerundeten Minimalwert der Landgasthöfe im (Kanton) verwendete und der Mittelwert der Landgasthöfe in der Schweiz gar einen "Zuschlagssatz Kaffee" von 1105.9 % aufweist (vgl. Vernehmlassung vom 5. Oktober 2015, Beilage A, S. 3), erscheint der Wert jedenfalls als nicht zu hoch.</w:t>
      </w:r>
    </w:p>
    <w:p>
      <w:r>
        <w:rPr>
          <w:b/>
        </w:rPr>
        <w:t>E. 4.4</w:t>
      </w:r>
    </w:p>
    <w:p>
      <w:r>
        <w:t>Die bisherigen Ausführungen ergeben, dass die Vorinstanz zur Vornahme einer Ermessenseinschätzung berechtigt war (E. 3.1 f.) und sie diese pflichtgemäss vorgenommen hat (vgl. E. 4.1-4.3). Mithin obliegt es nun dem Beschwerdeführer nachzuweisen, dass die Schätzung der Vorinstanz offensichtlich unrichtig ist bzw. dass dieser dabei erhebliche Ermessensfehler unterlaufen sind.</w:t>
      </w:r>
    </w:p>
    <w:p>
      <w:r>
        <w:rPr>
          <w:b/>
        </w:rPr>
        <w:t>E. 4.4.1.1</w:t>
      </w:r>
    </w:p>
    <w:p>
      <w:r>
        <w:t>Der Beschwerdeführer macht diesbezüglich lediglich geltend, die Vorinstanz bemühe sich zwar, die konkreten Umstände seines Betriebes anzuerkennen, wobei diese aber nicht bei der Beurteilung der Voraussetzungen für eine Ermessentaxation berücksichtigt worden seien, sondern vielmehr im Rahmen einer unzulässigen neuen Ermessenstaxation mit ungeahnt vielen nicht erhärteten Annahmen (Beschwerde vom 25. August 2015, S. 4 f., Rz. 4-6; vgl. E. 3.1). Hierzu entgegnet die Vorinstanz, sie müsse die Prüfung der Voraussetzungen aufgrund sämtlicher, ihr bekannter Indizien vornehmen und habe deshalb zu Recht den Zuschlagssatz für die Küche miteinbezogen (vgl. Sachverhalt Bst. H und E. 3.1).</w:t>
      </w:r>
    </w:p>
    <w:p>
      <w:r>
        <w:rPr>
          <w:b/>
        </w:rPr>
        <w:t>E. 4.4.1.2</w:t>
      </w:r>
    </w:p>
    <w:p>
      <w:r>
        <w:t>Wie gezeigt (E. 3.2), ist es im vorliegenden Fall nicht zu beanstanden, dass sich die Vorinstanz auf das detailliertere Kriterium "Zuschlags-sätze in %" als Einzelkalkulationen, bei welchem sie sich - ausser bei der Küche und dem Kaffee - auf Teile der Buchhaltung bzw. Belege des Beschwerdeführers stützen konnte, entschied. Da im konkreten Fall die Vermutung naheliegt, dass der Materialanteil keine aussagekräftigen Vergleichszahlen liefert, ist die Vorgehensweise der Vorinstanz anhand der Zuschlagssätze zu bevorzugen, was letztlich den Schluss, ein Zuschlagssatz auf der Küche von 53 % könne nicht den Tatsachen entsprechen, als nachvollziehbar erscheinen lässt. Den ihm obliegenden Unrichtigkeitsnachweis erbringt der Beschwerdeführer jedenfalls nicht.</w:t>
      </w:r>
    </w:p>
    <w:p>
      <w:r>
        <w:rPr>
          <w:b/>
        </w:rPr>
        <w:t>E. 4.4.2.1</w:t>
      </w:r>
    </w:p>
    <w:p>
      <w:r>
        <w:t>Der Beschwerdeführer rügt sodann, zu den bislang nicht berücksichtigten besonderen Umständen des Betriebes zähle auch die Tatsache, dass die Kontrollperiode ab dem ersten Tag der Eröffnung des Restaurants eingesetzt habe. Es entspreche aber der allgemeinen Erfahrung des Lebens, dass ein neueröffneter Gastronomiebetrieb im Unterschied zu den etablierten Betrieben über keinerlei Erfahrungswerte hinsichtlich Kundenfrequenz und Akzeptanz der angebotenen Speisen und Getränke verfüge, mit der Folge, dass Fehleinkäufe kaum zu vermeiden seien und der Materialanteil deshalb geradezu zwangsläufig höher sei als bei einem etablierten Restaurant. Die Erfahrungswerte seien nämlich bestimmt auf der Grundlage der Daten etablierter Betriebe aufgenommen worden (Beschwerde vom 25. August 2015, S. 6, Rz. 8).</w:t>
      </w:r>
    </w:p>
    <w:p>
      <w:r>
        <w:rPr>
          <w:b/>
        </w:rPr>
        <w:t>E. 4.4.2.2</w:t>
      </w:r>
    </w:p>
    <w:p>
      <w:r>
        <w:t>Es mag zwar zutreffen, dass ein neueröffneter Gastronomiebetrieb über keinerlei Erfahrungswerte verfügt, Fehleinkäufe häufiger vorkommen können und so der Materialanteil höher ausfällt, als bei einem etablierten Betrieb. Dadurch, dass die Vorinstanz dem Beschwerdeführer aber über die in den Erfahrungswerten enthaltenen (zusätzliche) Warenverluste aufgrund von Überschank, Freigetränken und verdorbenen Waren in Höhe von 10 % bzw. 30 % gewährt hat, ist dem Umstand der Neueröffnung jedoch bereits genügend Rechnung getragen. Den ihm obliegenden Unrichtigkeitsnachweis erbringt der Beschwerdeführer jedenfalls auch damit nicht.</w:t>
      </w:r>
    </w:p>
    <w:p>
      <w:r>
        <w:rPr>
          <w:b/>
        </w:rPr>
        <w:t>E. 4.4.3.1</w:t>
      </w:r>
    </w:p>
    <w:p>
      <w:r>
        <w:t>Der Beschwerdeführer bringt schliesslich vor, die Vorinstanz versuche den Nachweis der Voraussetzungen für eine Ermessenstaxation über eine ermessensweise Erfassung des wirklichen Sachverhaltes anzugehen. Die Beurteilung erfolge mittels des Zuschlagssatzes für die Küche, weil die Vorinstanz den Zuschlagssatz für die Getränke als "sacrosanct" annehme, obwohl dieser auch ermessensweise festgelegt worden sei, denn für den Betrieb des Beschwerdeführers lägen keine detaillierten Informationen für die Zuschlagssätze vor (Beschwerde vom 25. August 2015, S. 6, Rz. 10). Die Vorinstanz wendet ein, die Zuschlagssätze für die verschiedenen Getränkearten hätten mittels der vorgelegten Einkaufs- und Verkaufspreise ermittelt werden können. Einzig für den Kaffee habe sie sich auf die Auswertungen der Landgasthöfe abgestützt und somit sämtliche brauchbaren Teile der Buchhaltung sowie Belege berücksichtigt. Dass der Beschwerdeführer nicht bestätigen könne oder wolle, dass sie korrekte Getränkekalkulationen durchgeführt habe, ändere daran nichts (Vernehmlassung vom 5. Oktober 2015, S. 3 f.).</w:t>
      </w:r>
    </w:p>
    <w:p>
      <w:r>
        <w:rPr>
          <w:b/>
        </w:rPr>
        <w:t>E. 4.4.3.2</w:t>
      </w:r>
    </w:p>
    <w:p>
      <w:r>
        <w:t>Die Zuschlagssätze für die verschiedenen Getränkearten konnten durch die Vorinstanz mittels der Einkaufspreise bzw. Lieferantenrechnungen und der Verkaufspreise anhand der Speisekarte ermittelt werden (ausser für die Sparte Kaffee; hierzu E. 4.3.3) und stammen somit aus den brauchbaren Teilen der Buchhaltung und den Belegen des Beschwerdeführers. Was die Festsetzung des Ansatzes des Erfahrungswertes für den Kaffee betrifft, ist darauf hinzuweisen, dass bei der Festsetzung eines Ansatzes selbstverständlich gewisse Ungenauigkeiten in Kauf zu nehmen sind, die sich systemimmanent bei der Ermittlung von Durchschnittswerten ergeben. Der Beschwerdeführer hätte es jedoch selbst in der Hand gehabt, durch ordnungsgemässe Aufzeichnungen von vornherein Klarheit über seine tatsächlich erzielten Umsätze zu schaffen (vgl. Urteil des BGer 2C_429/2009 vom 9. November 2009 E. 5.2; Urteil des BVGer A 4566/2014 vom 9. Juni 2015 E. 4.4.4.2, mit weiteren Hinweisen).</w:t>
      </w:r>
    </w:p>
    <w:p>
      <w:r>
        <w:rPr>
          <w:b/>
        </w:rPr>
        <w:t>E. 4.4.4</w:t>
      </w:r>
    </w:p>
    <w:p>
      <w:r>
        <w:t>Letztlich vermögen auch die Vergleiche des Beschwerdeführers bzgl. der Materialanteile in Prozent nicht zu überzeugen. Wie dargelegt, erscheint das Kriterium "Materialanteil in %" in vorliegender Konstellation als nicht sehr aussagekräftig und repräsentativ (E. 3.2). Dass also der nach der Berechnung der Vorinstanz resultierende Materialanteil von 38.2 % jenem des Beschwerdeführers von 38.4 % nahezu entspricht oder auf der Grundlage des hypothetischen Umsatzes gar ein Materialanteil von 30.08 % resultiert (vgl. Sachverhalt Bst. G), vermag der Neubeurteilung der Vorinstanz nicht zu schaden. Letztlich spricht dieser Umstand eher wieder gegen die Verwendung des "Materialanteils in %" im vorliegenden Fall. Den ihm obliegenden Unrichtigkeitsnachweis erbringt der Beschwerdeführer jedenfalls nicht.</w:t>
      </w:r>
    </w:p>
    <w:p>
      <w:r>
        <w:rPr>
          <w:b/>
        </w:rPr>
        <w:t>E. 4.5</w:t>
      </w:r>
    </w:p>
    <w:p>
      <w:r>
        <w:t>Der Beschwerdeführer bringt weiter nichts vor und auch aus den Akten ist nichts ersichtlich, was die Ermessenseinschätzung der Vorinstanz als offensichtlich unrichtig zu erschüttern vermöchte. Mit anderen Worten misslingt dem Beschwerdeführer damit der Nachweis der offensichtlichen Unrichtigkeit der vorinstanzlichen Schätzung und erweist sich der angefochtene "Einspracheentscheid" vom 22. Juli 2015 insgesamt als rechtmässig. Die dagegen erhobene Beschwerde ist abzuweisen.</w:t>
      </w:r>
    </w:p>
    <w:p>
      <w:r>
        <w:rPr>
          <w:b/>
        </w:rPr>
        <w:t>E. 5.1</w:t>
      </w:r>
    </w:p>
    <w:p>
      <w:r>
        <w:t>Ausgangsgemäss sind die Verfahrenskosten, die auf Fr. 1'600.-- festgesetzt werden, dem Beschwerdeführer aufzuerlegen (Art. 63 Abs. 1 VwVG i.V.m. Art. 4 des Reglements von 21. Februar 2008 über die Kosten und Entschädigungen vor dem Bundesverwaltungsgericht [VGKE, SR 173.320.2]). Der einbezahlte Kostenvorschuss ist zur Bezahlung der Verfahrenskosten zu verwenden.</w:t>
      </w:r>
    </w:p>
    <w:p>
      <w:r>
        <w:rPr>
          <w:b/>
        </w:rPr>
        <w:t>E. 5.2</w:t>
      </w:r>
    </w:p>
    <w:p>
      <w:r>
        <w:t>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