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A-5157/2023 vom 28. August 2024</w:t>
      </w:r>
    </w:p>
    <w:p>
      <w:r>
        <w:t>Bundesverwaltungsgericht, 2024-08-28, DE</w:t>
      </w:r>
    </w:p>
    <w:p>
      <w:r>
        <w:rPr>
          <w:b/>
        </w:rPr>
        <w:t xml:space="preserve">Quelle: </w:t>
      </w:r>
      <w:r>
        <w:t>https://mcp.opencaselaw.ch/entscheid/bvger_A-5157_2023</w:t>
      </w:r>
    </w:p>
    <w:p>
      <w:r>
        <w:t>FR: TAF A-5157/2023 du 28 août 2024</w:t>
      </w:r>
    </w:p>
    <w:p>
      <w:r>
        <w:t>IT: TAF A-5157/2023 del 28 agosto 2024</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CH-BG richtet sich nach dem Steueramtshilfegesetz vom 28. September 2012 (StAhiG, SR 651.1; Art. 1 Abs. 1 Bst. a StAhiG). Allenfalls abweichende Bestimmungen des vorliegend anwendbaren DBA CH-BG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Beschwerdeführenden sind als Verfügungsadressaten gemäss Art. 48 Abs. 1 VwVG in Verbindung mit Art. 19 Abs. 2 StAhiG zur Beschwerde legitimiert. Auf die frist- und formgerecht eingereichte Beschwerde ist folglich einzutreten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Staatsvertragliche Grundlage für die Leistung von Amtshilfe in Steuersachen gegenüber Bulgarien sind Art. 26 DBA CH-BG sowie Ziff. 10 des dazugehörigen Protokolls vom 19. September 2012 (nachfolgend: Protokoll; ebenfalls publiziert in SR 0.672.921.41). Gemäss Art. 26 Abs. 1 DBA CH-BG tauschen die zuständigen Behörden der Vertragsstaaten diejenigen Informationen aus, die zur Durchführung des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dabei durch Art. 1 und 2 DBA CH-BG (persönlicher und sachlicher Geltungsbereich) nicht eingeschränkt.</w:t>
      </w:r>
    </w:p>
    <w:p>
      <w:r>
        <w:rPr>
          <w:b/>
        </w:rPr>
        <w:t>E. 2.2</w:t>
      </w:r>
    </w:p>
    <w:p>
      <w:r>
        <w:t>Was die formellen Voraussetzungen betrifft, die ein Amtshilfeersuchen erfüllen muss, besteht nach Ziff. 10 Bst. b des Protokolls Einvernehmen darüber, dass die Steuerbehörden des ersuchenden Staates bei der Stellung eines Amtshilfebegehrens nach Art. 26 DBA CH-BG den Steuerbehörden des ersuchten Staates die nachstehenden Angaben zu liefern haben: (i)die Identität der in eine Prüfung oder Untersuchung einbezogenen Person; (ii)die Zeitperiode, für welche die Informationen verlangt werden; (iii) eine Beschreibung der verlangten Informationen sowie Angaben hinsichtlich der Form, in der der ersuchende Staat diese Informationen vom ersuchten Staat zu erhalten wünscht; (iv)den Steuerzweck, für den die Informationen verlangt werden; (v)soweit bekannt, den Namen und die Adresse der mutmasslichen Inhaber der verlangten Informationen.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A-5273/2023 vom 24. Juni 2024 E. 3.1, A-5213/2020 vom 28. November 2022 E. 2.4.3; zur voraussichtlichen Erheblichkeit: nachfolgend E. 2.3).</w:t>
      </w:r>
    </w:p>
    <w:p>
      <w:r>
        <w:rPr>
          <w:b/>
        </w:rPr>
        <w:t>E. 2.3.1</w:t>
      </w:r>
    </w:p>
    <w:p>
      <w:r>
        <w:t>Art. 26 Abs. 1 DBA CH-BG bestimmt, dass Informationen ausgetauscht werden, wenn sie zur Durchführung des Abkommens oder zur Anwendung oder Durchsetzung des innerstaatlichen Rechts voraussichtlich erheblich sind (E. 2.1).</w:t>
      </w:r>
    </w:p>
    <w:p>
      <w:r>
        <w:rPr>
          <w:b/>
        </w:rPr>
        <w:t>E. 2.3.2</w:t>
      </w:r>
    </w:p>
    <w:p>
      <w:r>
        <w:t>Ziff. 10 Bst. c des Protokolls präzisiert,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Buchstabe b von Ziff. 10 des Protokolls enthält zwar wichtige verfahrenstechnische Anforderungen, die «fishing expeditions» vermeiden sollen, seine Unterabsätze (i) bis (v) sind jedoch nicht so auszulegen, dass sie einen wirksamen Informationsaustausch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A-2723/2023 vom 2. April 2024 E. 2.3.4, A-840/2022 vom 19. Januar 2023 E. 2.4.3).</w:t>
      </w:r>
    </w:p>
    <w:p>
      <w:r>
        <w:rPr>
          <w:b/>
        </w:rPr>
        <w:t>E. 2.4</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(vgl. zum Ganzen: Urteile des BVGer A-3886/2023 vom 15. März 2024 E. 2.4.5, A-674/2020 vom 24. August 2021 E. 3.9, A-4163/2019 vom 22. April 2020 E. 2.2).</w:t>
      </w:r>
    </w:p>
    <w:p>
      <w:r>
        <w:rPr>
          <w:b/>
        </w:rPr>
        <w:t>E. 3.1</w:t>
      </w:r>
    </w:p>
    <w:p>
      <w:r>
        <w:t>Das vorliegend zu beurteilende Amtshilfeersuchen erfüllt die an ein solches gestellten formellen Anforderungen (E. 2.2). Etwas anderes machen die Beschwerdeführenden auch nicht geltend.</w:t>
      </w:r>
    </w:p>
    <w:p>
      <w:r>
        <w:rPr>
          <w:b/>
        </w:rPr>
        <w:t>E. 3.2</w:t>
      </w:r>
    </w:p>
    <w:p>
      <w:r>
        <w:t>Die Beschwerdeführenden bestreiten auch nicht, dass das Amtshilfeersuchen grundsätzlich die weiteren Voraussetzungen erfüllt. Ob diese Voraussetzungen erfüllt sind, ist daher nicht weiter zu prüfen, weil prima facie nichts darauf hindeutet, dass sie nicht erfüllt sind.</w:t>
      </w:r>
    </w:p>
    <w:p>
      <w:r>
        <w:rPr>
          <w:b/>
        </w:rPr>
        <w:t>E. 3.3</w:t>
      </w:r>
    </w:p>
    <w:p>
      <w:r>
        <w:t>Während des Verfahrens vor der Vorinstanz hatte der Beschwerdeführer 2 insbesondere vorgebracht, seinen Lebensmittelpunkt in der Schweiz zu haben, weshalb eine Besteuerung auch in Bulgarien zu einer verpönten Doppelbesteuerung führen würde (insbesondere hier im Sachverhalt nicht erwähntes Schreiben des Beschwerdeführers vom 11. Juli 2023 an die ESTV). Dieses Argument wird im Beschwerdeverfahren vor Bundesverwaltungsgericht nicht mehr vorgebracht. Es genügt daher, in aller Kürze festzuhalten, dass der Beschwerdeführer 2 nicht jene Person ist, deren Besteuerung im ersuchenden Staat festgesetzt werden soll; das ist die B._______ AD. Gemäss Ziff. 3 Bst. a des Dispositivs der angefochtenen Schlussverfügung dürfen die Informationen, die Bulgarien aufgrund des hier gestellten Amtshilfeersuchens erhält, nur im Verfahren gegen die B._______ AD verwendet werden. An der Geltung dieser Ziffer ändert nichts, dass die OECD kürzlich den Kommentar zum Musterabkommen in Bezug auf das Spezialitätsprinzip präzisiert hat (s. die Fachinformation des Sekretariats für internationale Finanzfragen SIF: «Die OECD präzisiert den Kommentar zu Artikel 26 (Informationsaustausch) des Musterabkommens; abrufbar unter https://www.sif.admin.ch/sif/ de/home/dokumentation/fachinformationen/oecd_musterabkommen.html; letztmals abgerufen am 28. August 2024). Aufgrund des völkerrechtlichen Vertrauensprinzips (E. 2.4) ist davon auszugehen, dass sich Bulgarien an die von der Vorinstanz festgeschriebene Verwendungsbeschränkung halten wird. Daher ist hier auch nicht zu klären, was die Änderung des Kommentars allenfalls für zukünftige Verfahren bedeutet. Ginge es um einen Ansässigkeitskonflikt, wäre dieser überdies grundsätzlich nicht im Rahmen eines Amtshilfeverfahrens, sondern eines Verständigungsverfahrens zu lösen, zumal Bulgarien mit dem Vorbringen, der Beschwerdeführer 2 verfüge in Bulgarien über eine ständige Wohnstätte, ein Ansässigkeitskriterium nach Art. 4 Abs. 2 DBA CH-BG anruft (vgl. BGE 142 II 218 E. 3.1 und 3.6 f., 142 II 161 E. 2.2.2 und 2.4).</w:t>
      </w:r>
    </w:p>
    <w:p>
      <w:r>
        <w:rPr>
          <w:b/>
        </w:rPr>
        <w:t>E. 3.4</w:t>
      </w:r>
    </w:p>
    <w:p>
      <w:r>
        <w:t>Hingegen machen die Beschwerdeführenden neu geltend, das Amtshilfeersuchen sei rechtsmissbräuchlich gestellt worden. Es sei nur deshalb eingereicht worden, weil der Beschwerdeführer 2 dazu bewegt werden sollte, Geld zu bezahlen, damit das Amtshilfeersuchen wieder zurückgezogen werde. In den vorhandenen Unterlagen deutet nichts darauf hin, dass dies tatsächlich der Fall ist. Die Beschwerdeführenden bringen auch keine Unterlagen bei, aus denen sich ergeben könnte, dass ihr Vorwurf zumindest nicht von der Hand zu weisen wäre. Sie reichen diesbezüglich gar keine Unterlagen ein, sondern begnügen sich mit reinen Behauptungen. Vorliegend verfügt das Bundesverwaltungsgericht daher über keinerlei stichhaltige Hinweise dafür, dass das Amtshilfeersuchen treuwidrig gestellt wurde (vgl. E. 2.4). Sollte dem Amtshilfeersuchen dennoch tatsächlich eine strafbare Handlung zugrunde liegen, wäre - da vorliegend konkrete Anhaltspunkte fehlen - in Bulgarien zu untersuchen, ob es sich um eine solche Handlung handelt und welche Folgen dies hätte. Das Bundesverwaltungsgericht wäre für die Untersuchung der konkreten Straftat weder sachlich noch örtlich zuständig. Insgesamt gelingt es den Beschwerdeführenden nicht, Zweifel daran zu erwecken, dass das Amtshilfeersuchen in guten Treuen eingereicht wurde.</w:t>
      </w:r>
    </w:p>
    <w:p>
      <w:r>
        <w:rPr>
          <w:b/>
        </w:rPr>
        <w:t>E. 3.5</w:t>
      </w:r>
    </w:p>
    <w:p>
      <w:r>
        <w:t>Damit ist die Beschwerde abzuweisen.</w:t>
      </w:r>
    </w:p>
    <w:p>
      <w:r>
        <w:rPr>
          <w:b/>
        </w:rPr>
        <w:t>E. 4.1</w:t>
      </w:r>
    </w:p>
    <w:p>
      <w:r>
        <w:t>Ausgangsgemäss sind die Verfahrenskosten den vollständig unterliegenden Beschwerdeführenden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