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A-5154/2011 vom 24. August 2012</w:t>
      </w:r>
    </w:p>
    <w:p>
      <w:r>
        <w:t>Bundesverwaltungsgericht, 2012-08-24, DE</w:t>
      </w:r>
    </w:p>
    <w:p>
      <w:r>
        <w:rPr>
          <w:b/>
        </w:rPr>
        <w:t xml:space="preserve">Quelle: </w:t>
      </w:r>
      <w:r>
        <w:t>https://mcp.opencaselaw.ch/entscheid/bvger_A-5154_2011</w:t>
      </w:r>
    </w:p>
    <w:p>
      <w:r>
        <w:t>FR: TAF A-5154/2011 du 24 août 2012</w:t>
      </w:r>
    </w:p>
    <w:p>
      <w:r>
        <w:t>IT: TAF A-5154/2011 del 24 agosto 2012</w:t>
      </w:r>
    </w:p>
    <w:p>
      <w:pPr>
        <w:pStyle w:val="Heading2"/>
      </w:pPr>
      <w:r>
        <w:t>Regeste</w:t>
      </w:r>
    </w:p>
    <w:p>
      <w:r>
        <w:t>Mehrwertsteuer</w:t>
      </w:r>
    </w:p>
    <w:p>
      <w:pPr>
        <w:pStyle w:val="Heading2"/>
      </w:pPr>
      <w:r>
        <w:t>Erwägungen</w:t>
      </w:r>
    </w:p>
    <w:p>
      <w:r>
        <w:rPr>
          <w:b/>
        </w:rPr>
        <w:t>E. 3.1</w:t>
      </w:r>
    </w:p>
    <w:p>
      <w:r>
        <w:t>Im vorliegenden Fall ist zunächst einmal zu Recht unbestritten, dass die Beschwerdeführerin an A._______ und an B._______ Dienstleistungen ("Architekturdienstleistungen") gegen Entgelt erbracht hat, mithin ein mehrwertsteuerlicher Leistungsaustausch vorliegt (vgl. E. 2.1, E. 2.3.2). Die Beschwerdeführerin bestreitet sodann auch zu Recht nicht, dass ._______ bzw. B._______ in ihrer jeweiligen Funktion als Inhaber und Verwaltungsratspräsident bzw. als Geschäftsführer und Delegierter des Verwaltungsrates der Beschwerdeführerin (vgl. act. 12, Homepage der Beschwerdeführerin vom ... [Ausdruck]) in enger Beziehung zur Beschwerdeführerin stehen und somit zu den nahestehenden Personen im Sinne des aMWSTG zu zählen sind (vgl. E. 2.3.2).</w:t>
      </w:r>
    </w:p>
    <w:p>
      <w:r>
        <w:rPr>
          <w:b/>
        </w:rPr>
        <w:t>E. 3.2</w:t>
      </w:r>
    </w:p>
    <w:p>
      <w:r>
        <w:t>Die Verwaltung überprüfte im Rahmen der Kontrolle der von der Beschwerdeführerin für die drei genannten Projekte (vgl. Sachverhalt, Bst. B) A._______ bzw. B._______ in Rechnung gestellten Architekturhonorare, ob das jeweilige Entgelt dem Wert wie für unabhängige Dritte entsprach. Dabei orientierte sie sich ursprünglich und grundsätzlich an ihrem Erfahrungswert von 15% der Bausumme. Mangels detaillierter Bauabrechnungen legte die ESTV für ihre rechnerische Überprüfung diesen Erfahrungswert den Gebäudeversicherungswerten zu Grunde (vgl. Bst. B, 2. Absatz). Dabei stellte sie wesentliche Abweichungen von ihrem Erfahrungswert fest. Aus diesem Grund hegte sie Zweifel an der Richtigkeit der in Rechnung gestellten Architektenhonorare bzw. daran, dass die Aufzeichnungen die tatsächlichen Verhältnisse glaubwürdig wiedergeben. Die ESTV schritt deshalb zur Ermessenseinschätzung (vgl. E. 2.2.1). Der Frage, ob diese - von der Beschwerdeführerin kritisierte - Methode (15% des Gebäudeversicherungswertes) bundesrechtskonform ist, braucht vorliegend allerdings nicht weiter nachgegangen zu werden, denn im Rahmen des Einspracheverfahrens wurden die Bauabrechnungen nachgereicht. Die eingereichten Bauabrechnungen ermöglichten eine Neuüberprüfung und -berechnung der Architekturhonorare anhand der Ordnung SIA 102 bzw. der Empfehlungen der KBOB (vgl. Bst. B, 2. Absatz), die weitgehend auf diese Ordnung verweisen. Diese Neuberechnungen bestätigten - was nachfolgend aufgezeigt wird - die wesentlichen Abweichungen: Die ESTV errechnete in einem ersten Schritt die Bausumme (gemäss Art. 7.5 der Ordnung SIA 102), in einem zweiten Schritt den Stundenaufwand basierend auf dem sog. "Z-Wert" des SIA (act. 9) sowie in einem dritten Schritt das Honorar basierend auf den empfohlenen Stundenansätze der KBOB (act. 8), welche sich betreffend die Umschreibung der Leistungen ebenfalls auf die Kategorisierung gemäss der SIA Ordnung 102 (vgl. Art. 6.5 Ordnung SIA 102) abstützen. Für das Projekt ... deklarierte die Beschwerdeführerin ein Honorar in der Höhe von Fr. 280'865.-. Demgegenüber kalkulierte die ESTV auf der dargelegten Grundlage ein Honorar von Fr. 631'260.- (gemäss Einspracheentscheid noch Fr. 715'143.-). Für die Projekte ... und ... deklarierte die Beschwerdeführerin Honorare in der Höhe von Fr. 116'094.- bzw. Fr. 100'000.-, wohingegen die ESTV Honorare von Fr. 231'390.- (gemäss Einspracheentscheid Fr. 238'158.-) bzw. Fr. 291'060.- (gemäss Einspracheentscheid Fr. 292'891.-) ermittelte. Aufgrund dieser Abweichungen von teilweise deutlich mehr als dem Doppelten des deklarierten Betrages, welche als wesentlich zu bezeichnen sind, zweifelte die ESTV - ohne Bundesrecht zu verletzen - daran, dass das jeweils tatsächlich geleistete Entgelt dem Drittpreis entsprach.</w:t>
      </w:r>
    </w:p>
    <w:p>
      <w:r>
        <w:rPr>
          <w:b/>
        </w:rPr>
        <w:t>E. 3.3</w:t>
      </w:r>
    </w:p>
    <w:p>
      <w:r>
        <w:t>Die Beschwerdeführerin kritisiert, die Vorinstanz habe bisher noch keinen "richtigen" Drittvergleich mit effektiv erzielten Honoraren von anderen Architekturbüros vorgenommen. Sie bestreitet, dass die von der Vorinstanz angewandte Berechnungsmethode gemäss den Empfehlungen der KBOB bzw. der Ordnung SIA 102 überhaupt geeignet ist, den Marktwert zu ermitteln.</w:t>
      </w:r>
    </w:p>
    <w:p>
      <w:r>
        <w:rPr>
          <w:b/>
        </w:rPr>
        <w:t>E. 3.3.1</w:t>
      </w:r>
    </w:p>
    <w:p>
      <w:r>
        <w:t>Mit der Vorinstanz ist festzuhalten, dass es kaum möglich ist, gleiche Bauprojekte anderer Architekten zu finden, bei denen dieselben Bedingungen wie bei der Beschwerdeführerin vorherrschen. Das Heranziehen von Erfahrungswerten bietet in solchen Fällen grundsätzlich eine praktikable Lösung, die grundsätzlich von der Rechtsprechung als rechtmässig bewertet wird (vgl. E. 2.2.2). Im vorliegenden Fall hat die Vorinstanz aber nicht ihre eigenen, branchenspezifischen Erfahrungswerte angewendet, sondern primär auf die SIA Ordnung 102 bzw. auf die Empfehlungen der KBOB, welche sich auf die SIA Ordnung 102 beziehen, zurückgegriffen und das Honorar nach den Baukosten berechnet (vgl. Art. 7 Ordnung SIA 102, dazu näher nachfolgend):</w:t>
      </w:r>
    </w:p>
    <w:p>
      <w:r>
        <w:rPr>
          <w:b/>
        </w:rPr>
        <w:t>E. 3.3.2</w:t>
      </w:r>
    </w:p>
    <w:p>
      <w:r>
        <w:t>Die KBOB wurde 1968 als Koordinationsgremium der Bauorgane des Bundes ins Leben gerufen, namentlich für Fragen des Submissionswesens, der Teuerungsabgeltung auf Bauleistungen und der Architekten- und Ingenieurhonorare. Zu ihren Mitgliedern gehören das Bundesamt für Bauten und Logistik (BBL), die armasuisse Immobilien, der Rat der Eidgenössischen Technischen Hochschulen (ETH), das Bundesamt für Verkehr (BAV), das Bundesamt für Strassen (ASTRA), die Schweizerische Bau-, Planungs- und Umweltdirektoren-Konferenz (BPUK), der Schweizerische Gemeindeverband (SGV) und der Schweizerische Städteverband (SSV). Die KBOB wahrt die Interessen ihrer Mitglieder als Bauherr sowie Liegenschaftseigentümer und -besitzer. Dabei vertritt sie diese Interessen gegenüber der Bauwirtschaft und sie ist zugleich Ansprechpartner im Baubereich. Zusammen mit ihren Mitgliedern will die KBOB den wirtschaftlichen Mitteleinsatz über den gesamten Lebensweg der Immobilien unter Berücksichtigung kultureller und ökologischer Aspekte des Bauens sicherstellen (vgl. www.bbl.admin.ch KBOB Rechtsgrundlagen und Organisation, besucht am 19. Juli 2012). Die KBOB gibt Empfehlungen zur Honorierung u.a. von Architekten ab, wobei sie - wie erwähnt - auf die Ordnung des SIA zurückgreift (vgl. www.bbl.admin.ch Dokumentation Publikationen KBOB Dienstleistung Planer, besucht am 19. Juli 2012; vgl. auch act. 8 und 9).</w:t>
      </w:r>
    </w:p>
    <w:p>
      <w:r>
        <w:rPr>
          <w:b/>
        </w:rPr>
        <w:t>E. 3.3.3</w:t>
      </w:r>
    </w:p>
    <w:p>
      <w:r>
        <w:t>Der SIA ist ein Berufsverband qualifizierter Fachleute aus den Bereichen Bau, Technik und Umwelt. Gemäss seinen eigenen Angaben hat der Verein rund fünfzehntausend Mitglieder aus dem Ingenieur- und Architekturwesen (vgl. www.sia.ch &gt; der sia; vgl. auch Art. 2 Abs. 1 der Statuten von 1999 [Stand 2012], einsehbar unter www.sia.ch &gt; mitgliedschaft, besucht am 19. Juli 2012). Der SIA hält seine Mitglieder zu einer ethisch beispielhaften Berufsausübung an und verpflichtet sie dazu, die Regeln des fairen Wettbewerbs und die Standesregeln einzuhalten (Art. 3 Abs. 1 und Art. 7 Abs. 1 der Statuten von 1999 [Stand 2012]). Die Mitglieder sind ausserdem verpflichtet, die vom Verein aufgestellten Ordnungen, Richtlinien, Normen und Empfehlungen zu befolgen (Art. 7 Abs. 2 der Statuten von 1999 [Stand 2012]). Der SIA hat mit seinem Normenwerk Regeln für das Planen und Bauen in der Schweiz ge­schaffen. Er überprüft, revidiert und aktualisiert die Normen laufend und gibt Auskünfte zu de­ren Anwendung. Die Normen und die entsprechenden Merk­blätter und Dokumentationen sind ein paritätisch erarbeitetes Gemeinschaftswerk von SIA-Fachpersonen, Bauherrschaften, Unternehmern, Lieferanten und Behörden, mit Einbezug der Hochschulen (vgl. Der SIA - Broschüre [2007], einsehbar unter www.sia der sia; vgl. auch www.sia.ch dienstleistungen sia-norm normenschaffen; beide besucht am 19. Juli 2012). Der SIA hat nicht nur in technischen Bereichen Normen entwickelt, sondern auch im Bereich der Regelung vertraglicher Verhältnisse im Bauwesen (vgl. www.sia.ch dienstleistungen sia-norm normenwerk normenarten, besucht am 19. Juli 2012). In diesem Rahmen wurde die Ordnung SIA 102 entwickelt. Gemäss den Grundsätzen der Vergütung von Architektenleistungen (Art. 5 Ordnung SIA 102) besteht zwischen den Baukosten eines Objekts und dem erforderlichen Zeitaufwand des Architekten für die Erbringung der Grundleistungen erfahrungsgemäss ein Zusammenhang. Dieser Zusammenhang erlaube es, den angemessenen durchschnittlichen Zeitaufwand in Bezug zu den Baukosten zu bestimmen. Aufgrund des erforderlichen Zeitaufwandes könne der Architekt sein Honorar errechnen. Diese Berechnungsart könne zur Honorarberechnung verwendet werden, sie diene aber auch für die Herleitung und Überprüfung von Pauschal- und Globalangeboten (vgl. Art. 5.2.3 Ordnung SIA 102). Für die Ermittlung des durchschnittlichen Stundenaufwandes für Planerleistungen bilden u.a. die sog. "Z Werte" eine massgebende Grösse (vgl. act. 9). Diese Werte werden periodisch vom SIA aufgrund von Erhebungen bei den Planern ermittelt (vgl. act. 9). Es darf hier nach Auffassung des Bundesverwaltungsgerichts deshalb von berufseigenen Erfahrungswerten gesprochen werden. Wie erwähnt, hat der SIA rund 15'000 Mitglieder, wovon 7'077 Architekten (Stand: 31.12.2011; vgl. www.sia.ch &gt; berufsgruppen, besucht am 19. Juli 2012). Damit ist eine erhebliche Anzahl der "am Markt" auftretenden Architektinnen und Architekten gemäss den Statuten und Standesregeln angehalten, sich bei der Honorierung nach der Ordnung SIA 102 zu richten (auch wenn diese Normen im konkreten Vertragsverhältnis nur Anwendung finden, wenn sie von den Parteien zum Vertragsinhalt gemacht und für anwendbar erklärt werden [vgl. Peter Gauch, Vom Architekturvertrag, seiner Qualifikation und der SIA-Ordnung 102, in: Peter Gauch/Pierre Tercier {Hrsg.}, Das Architektenrecht, Freiburg 1995, S. 24 N 62 f.; Urs Hess, Der Architekten- und Ingenieurvertrag, Kommentar zu den rechtlichen Bestimmungen der Ordnungen SIA 102, 103 und 108 für Leistungen und Honorare der Architekten und Ingenieure, Zürich 1986, S. 54 N 4]). Die Honoraransätze des SIA werden in der Literatur grundsätzlich als "objektiv ausgewogen" und "angemessen" gewertet (Hess, a.a.O., S. 54 N 26, noch mit Bezug auf die Honorarordnung von 1984). Als Fachverband, dessen Mitglieder häufig auch auf der Bauherrenseite engagiert seien, sei keine einseitige Standesoptik zur Anwendung gekommen (Hess, a.a.O., S. 54 N 26; eher kritisch zur Frage der "Angemessenheit" der Honorare gemäss der Ordnung von 1984, Gauch, a.a.O., S. 21 N 53). Die Normen des SIA sind weithin anerkannt und finden eine breite Anwendung. Dies zeigt sich auch etwa daran, dass sich die KBOB als Interessenvertreterin der öffentlichen Bauherren ebenfalls auf die SIA Ordnung abstützt und Empfehlungen zu deren Anwendung abgibt (vgl. act. 8 und 9). Auch in der Literatur wird das Regelwerk als für die Praxis "bedeutsam" gewürdigt, so übernähmen unzählige Vertragsparteien die Ordnung "unverändert" (Gauch, a.a.O., S. 33 N 97).</w:t>
      </w:r>
    </w:p>
    <w:p>
      <w:r>
        <w:rPr>
          <w:b/>
        </w:rPr>
        <w:t>E. 3.3.4</w:t>
      </w:r>
    </w:p>
    <w:p>
      <w:r>
        <w:t>Zusammenfassend kann mit Bezug auf die vorliegende Fragestellung festgehalten werden, dass es sich bei der SIA Ordnung 102 um ein "paritätisch erarbeitetes Gemeinschaftswerk" (vgl. E. 3.3.3, 2. Absatz) handelt, das aufgrund der Erfahrungen in der Praxis entwickelt wurde sowie weithin anerkannt und "auf dem Markt" praktiziert wird. Das Bundesverwaltungsgericht hält im Lichte seiner zurückhaltenden Überprüfung die Anwendung der Ordnung SIA 102 durch die ESTV bei der Ermittlung des Drittpreises für Architekturdienstleistungen deshalb grundsätzlich für eine praktikable und sachgerechte Methode, handelt es sich doch um berufs- und branchenspezifische Erfahrungswerte.</w:t>
      </w:r>
    </w:p>
    <w:p>
      <w:r>
        <w:rPr>
          <w:b/>
        </w:rPr>
        <w:t>E. 3.4</w:t>
      </w:r>
    </w:p>
    <w:p>
      <w:r>
        <w:t>Wie bereits ausgeführt (vgl. E. 3.2), durfte die ESTV aufgrund der festgestellten erheblichen Abweichungen von den Berechnungen gemäss der SIA-Ordnung bzw. der Empfehlungen der KBOB zur Ermesseneinschätzung schreiten und die geschuldete Mehrwertsteuer auf der Basis dieser Ordnung neu berechnen. Es obliegt nun - entgegen ihrer Auffassung - der Beschwerdeführerin (vgl. 2.2.3), den Nachweis zu erbringen, dass diese Berechnungen bundesrechtswidrig sind. Gegen die konkrete Berechnung der Vorinstanz erhebt die Beschwerdeführerin verschiedene Einwände:</w:t>
      </w:r>
    </w:p>
    <w:p>
      <w:r>
        <w:rPr>
          <w:b/>
        </w:rPr>
        <w:t>E. 3.4.1.1</w:t>
      </w:r>
    </w:p>
    <w:p>
      <w:r>
        <w:t>An den Berechnungen der Baukosten kritisiert die Beschwerdeführerin deren "Intransparenz". Es sei nicht erkennbar, welche Posten gestützt auf Art. 7.5.5 der SIA Ordnung 102 (nicht aufwandbestimmende Baukosten) in Abzug gebracht worden seien. Immerhin lägen die errechneten Werte im Bereich der von ihr selbst berechneten Bausummen. Was die Beschwerdeführerin aus diesem Vorwurf zu ihren Gunsten ableiten will, bleibt unklar, zumal sie eingesteht, dass die von der Vorinstanz auf der Basis der genannten Ordnung ermittelten Bausummen im Bereich der von ihr errechneten Werte liegen. Die Vorinstanz hat im Rahmen der Vernehmlassung ausserdem genau aufgezeigt, welche Aufwendungen nicht zu den Baukosten zu zählen sind. Auf das Vorbringen der Beschwerdeführerin ist deshalb nicht weiter einzugehen.</w:t>
      </w:r>
    </w:p>
    <w:p>
      <w:r>
        <w:rPr>
          <w:b/>
        </w:rPr>
        <w:t>E. 3.4.1.2</w:t>
      </w:r>
    </w:p>
    <w:p>
      <w:r>
        <w:t>Bezüglich des Stundenaufwandes kritisierte sie, dass ihre eigenen Nachberechnungen zu abweichenden Ergebnissen geführt hätten. Die Vorinstanz hat aus diesem Grund den jeweiligen Stundenaufwand neu ermittelt und ihre Berechnungsfehler korrigiert. In diesem Punkt hat sie denn auch eine Gutheissung der Beschwerde im Umfang von Fr. 6'532.- beantragt (vgl. Bst. D, vgl. auch E. 3.2). In diesem Zusammenhang bringt die Beschwerdeführerin zudem vor, dass A._______ bereits seit 51 Jahren als Architekt tätig und auf Wohnungsbau spezialisiert sei. Entsprechend seien die Arbeitsabläufe eingespielt, was sich insgesamt mindernd auf den Stundenaufwand auswirke. Reduzierend auf den Stundenaufwand müsse sich auch der Umstand niederschlagen, dass sich die zu bebauenden Grundstücke in Fussdistanz vom Büro der Beschwerdeführerin befänden und demnach quasi eine Bauführung "vom Fenster aus" möglich gewesen sei. Die Vorinstanz bringt hierzu vor, diese Punkte seien berücksichtigt worden. Unter dem Titel "allfällige Differenzen" seien im Rahmen der Baukostenberechnung Fr. 100'000.- (für das Projekt ...) bzw. je Fr. 50'000.- (für die anderen beiden Projekte) abgezogen worden. Dieses Vorgehen der ESTV hält einer zurückhaltenden Prüfung durch das Bundesverwaltungsgericht jedenfalls stand (vgl. E. 2.2.3).</w:t>
      </w:r>
    </w:p>
    <w:p>
      <w:r>
        <w:rPr>
          <w:b/>
        </w:rPr>
        <w:t>E. 3.4.1.3</w:t>
      </w:r>
    </w:p>
    <w:p>
      <w:r>
        <w:t>Gegen den von der Vorinstanz gemäss den Empfehlungen der KBOB (act. 8, welche sich betreffend die Umschreibung der Leistungen auf die Kategorisierung gemäss der SIA Ordnung 102 stützt; vgl. E. 3.2) zu Grunde gelegten Stundenansatz bringt die Beschwerdeführerin grundsätzlich keine Einwände vor. Bei ihrer Bemerkung, bei den Empfehlungen der KBOB handle es sich um "Maximalstundenansätze", die "jederzeit unterschritten" werden könnten, handelt es sich um einen allgemeinen, nicht weiter substantiierten Hinweis, aus dem nicht ersichtlich ist, was die Beschwerdeführerin für den vorliegenden Fall konkret bzw. zahlenmässig ableiten will. Ausserdem hat die Vorinstanz in ihrer Vernehmlassung ausführlich dargelegt, wie sie den Stundenansatz ermittelt hat, und dass sie dabei durchaus den für die Kategorie der Beschwerdeführerin empfohlenen, höchstmöglichen Stundenansatz - wie von der Beschwerdeführerin verlangt - unterschritten hat. Weiter kritisiert die Beschwerdeführerin, dass die gemäss der SIA-Ordnung errechneten Honorare prozentual betrachtet jeweils teilweise deutlich mehr als 15% der Bausumme ausmachen würden. Somit lägen die nach SIA berechneten Honorare sogar über dem Erfahrungswert der ESTV. Was die Beschwerdeführerin daraus allerdings rechnerisch zu ihren Gunsten ableiten will, bleibt auch hier unklar. Gemäss den Berechnungen der Beschwerdeführerin betragen die von der ESTV ermittelten Honorare - in Prozenten umgerechnet - 18.09%, 20.79% und 19.17% der Bausumme. Damit wird der Erfahrungswert der ESTV jeweils um 3.09%, 5.79% und 4.17% überschritten. Festzuhalten ist, dass es sich bei den Erfahrungswerten, auf die die ESTV im Rahmen von Ermessenseinschätzungen zurückgreift, in der Regel um Durchschnittswerte handelt. Dabei ist die ESTV aber nicht verpflichtet, auf diesen Durchschnittswert abzustellen. Sie kann und - wo es die individuellen Verhältnisse gebieten - sie soll in Ausübung ihres Ermessens im konkreten Einzelfall diesen Durchschnittswert sowohl unter- als auch überschreiten. Inwiefern die vorliegenden Abweichungen vom Durchschnittswert von 15% derart erheblich sein sollen, dass geradezu von einer Verletzung von Bundesrecht bzw. von einem Ermessensfehler gesprochen werden könnte, hat die Beschwerdeführerin - wozu sie verpflichtet wäre (vgl. E. 2.2.3) - allerdings weder nachgewiesen, noch mit plausiblen Argumenten unterlegt. Jedenfalls gelingt es der Beschwerdeführerin damit nicht - und darauf zielt das Vorbingen wohl ab -, die Geeignetheit und die Bundesrechtmässigkeit der von der Vorinstanz angewandten Methode (Berechnung nach der SIA Ordnung 102) in Zweifel zu ziehen. 3.4.2.1 Weiter wendet die Beschwerdeführerin ein, bei den Berechnungen durch die ESTV sei unberücksichtigt geblieben, dass diese Projekte während einer "Durststrecke" der Beschwerdeführerin realisiert worden seien. In einer solchen Situation würde - auch unabhängigen Dritten gegenüber - "auch mal zu günstigeren Preisen Leistungen erbracht". Die Beschwerdeführerin hat aber im Rahmen ihrer Beweispflicht (vgl. E. 2.3.3) auch hier weder belegt, dass sie sich im strittigen Zeitraum geschäftlich in einer schwierigen finanziellen Situation befunden hat, noch, dass sie auch unabhängigen Dritten "günstigere" Angebote gemacht hat, m.a.W. zu Preisen offeriert hat, die unterhalb des Marktwertes lagen. Auf dieses Vorbringen braucht bereits deshalb nicht weiter eingegangen zu werden. 3.4.2.2 Die Beschwerdeführerin bringt zudem vor, sie sei auf den Wohnungsbau spezialisiert. Es sei fraglich, ob die von der ESTV herangezogenen Honorierungsempfehlungen der KBOB auch Objekte des Wohnungsbaus betreffen oder ob diese nicht vorab Amtsbauten oder geschäftlich genutzte Immobilien erfassen würden. Mit der Vorinstanz ist dem entgegen zu halten, dass die Honorierungsempfehlungen für Wohn- wie auch für Geschäftsbauten gelten. Spezifische Kriterien für Industriebauten sind nicht vorgesehen. 3.4.2.3 Schliesslich wirft die Beschwerdeführerin der ESTV vor, diese habe ignoriert, dass namhafte Teile des Projekts ... durch Dritte ausgeführt worden seien. Dieser Vorwurf der Beschwerdeführerin geht ebenfalls fehl. Die Vorinstanz hat die Drittleistungen sowohl bei der Berechnung der Baukosten als auch bei der Berechnung des Architekturhonorars in Abzug gebracht (vgl. Ziff. 2.3 der Vernehmlassung).</w:t>
      </w:r>
    </w:p>
    <w:p>
      <w:r>
        <w:rPr>
          <w:b/>
        </w:rPr>
        <w:t>E. 3.4.3</w:t>
      </w:r>
    </w:p>
    <w:p>
      <w:r>
        <w:t>Insgesamt ist es der Beschwerdeführerin nicht gelungen, nachzuweisen, dass die Berechnung des Entgelts für ihre Architekturdienstleistungen nach den Empfehlungen der KBOB bzw. der Ordnung SIA 102 in ihrem Fall zu einem bundesrechtswidrigen Ergebnis führt. Dass - wie die Beschwerdeführerin vorbringt - vermehrt Pauschalen vereinbart, und dass diese Pauschalen bei 5%-10% der Bausumme liegen würden, sind beides unbelegt gebliebene Behauptungen. Daran ändert nichts dass die KBOB - worauf die Beschwerdeführerin hinweist - empfiehlt, Verträge abzuschliessen, bei denen das "Honorar pauschal bestimmt" wird (vgl. act. 8, Ziffer 3). Diese Empfehlung steht nämlich unter der Bedingung, dass dies überhaupt möglich ist (ebd., vgl. den Wortlaut "nach Möglichkeit"). Insbesondere für Aufträge, deren Zeitaufwand im Voraus nicht oder nur schwer abschätzbar ist, empfiehlt der SIA vielmehr eine Honorierung nach dem effektiven Zeitaufwand (vgl. Art. 5.2.2 Ordnung SIA 102). Abgesehen davon ist nicht einzusehen, inwiefern das Vereinbaren von Pauschalen grundsätzlich dazu führen soll, dass sich eine "effektive Berechnung" als unzulässig und sachwidrig herausstellt. Und schliesslich zählt die Beschwerdeführerin selbst noch in ihrer Einsprache die Berechnung des Honorars "nach Zeitaufwand" zu den heute üblichen Berechnungsmethoden (vgl. Einsprache Ziff. 3.2).</w:t>
      </w:r>
    </w:p>
    <w:p>
      <w:r>
        <w:rPr>
          <w:b/>
        </w:rPr>
        <w:t>E. 3.5</w:t>
      </w:r>
    </w:p>
    <w:p>
      <w:r>
        <w:t>Die Beschwerde ist in diesem Punkt mit Bezug auf die Berechnung des Stundenaufwandes (vgl. E. 3.4.1.2) im Umfang von Fr. 6'532.- gutzuheissen (Antrag der ESTV in der Vernehmlassung), im Übrigen jedoch abzuweisen. 4.1 Die Beschwerdeführerin kritisiert schliesslich die "Weiterverrechnung der Infrastrukturkosten" (vgl. Ziff. 1.2 der EM). Zwar möge es zutreffen, dass eine Nachbelastung zu erfolgen habe, wenn die Infrastruktur der steuerpflichtigen Person für private Zwecke der Anteilsinhaber genutzt würde. Demgegenüber müsse es aber auch zulässig sein, dass der Anteilsinhaber, der seine private Infrastruktur für Zwecke nutze, die die unternehmerische Tätigkeit der Gesellschaft beträfen, entsprechend Rechnung stellen könne. Ansonsten entstünde nämlich eine "Schattensteuerbelastung", welche nicht sachgerecht sei, weil es immer um "unternehmerische Zwecke" ginge. Durch eine pragmatischere Handhabung der rechtlichen Vorgaben könne dies verhindert werden. 4.2 Es ist unbestritten, dass A._______ und B._______ für die Verwaltung der von ihnen im Privatvermögen gehaltenen Liegenschaften die Infrastruktur der Beschwerdeführerin benutzt haben. Zwischen der Beschwerdeführerin und A._______ bzw. B._______ besteht je ein Leistungsaustausch, auch wenn hierfür kein Entgelt geleistet worden ist, denn nach den Umständen ist erwartbar, dass eine derartige Leistung - wäre sie unabhängigen Dritten gegenüber erbracht worden - eine Gegenleistung auslöst (vgl. E. 2.2.2). Bei einer solchen Verwendung der Infrastruktur durch nahestehende Dritte (vgl. oben E. 3.1) gilt mehrwertsteuerlich als Entgelt der Preis, der unter unabhängigen Dritten vereinbart würde (vgl. E. 2.3.2). In Absprache mit der Beschwerdeführerin hat die Vorinstanz als Entgelt einen Pauschalbetrag von jährlich Fr. 10'000.- festgelegt. Es ist davon auszugehen, dass sich dieser einvernehmlich festgelegte Betrag an den marktüblichen Verhältnissen orientierte. Das Bundesverwaltungsgericht hat jedenfalls keine Anhaltspunkte dafür, dass dieses Entgelt nicht dem Drittpreis entspricht. Die Beschwerdeführerin bestreitet denn auch zu Recht weder das Vorliegen eines Leistungsaustausches noch die Höhe des Entgelts. Vielmehr kritisiert sie die ihres Erachtens dadurch entstehende "Schattensteuerbelastung". Sie hat aber weder nachgewiesen, dass die von ihr behauptete Konstellation (vgl. E. 4.1) überhaupt vorliegt, noch hat sie entsprechende Rechnungen oder Belege eingereicht. Vielmehr erschöpfen sich ihre Ausführungen in einer diesbezüglichen allgemeinen Kritik am System der Mehrwertsteuer. Es ist aber nicht Aufgabe des Bundesverwaltungsgerichts, abstrakte Rechtsfragen zu beantworten. Auf das unsubstantiiert gebliebene Rechtsbegehren der Beschwerdeführerin ist deshalb nicht weiter einzugehen. 4.3 Die Beschwerde ist in diesem Punkt folglich abzuweisen.</w:t>
      </w:r>
    </w:p>
    <w:p>
      <w:r>
        <w:rPr>
          <w:b/>
        </w:rPr>
        <w:t>E. 5</w:t>
      </w:r>
    </w:p>
    <w:p>
      <w:r>
        <w:t>Ausgangsgemäss ist die Beschwerde teilweise gutzuheissen (nämlich im Umfang von Fr. 6'532.- betreffend Ziffer 1.1 der EM), im Übrigen jedoch abzuweisen. Die Verfahrenskosten werden auf Fr. 3'600.- festgelegt (Art. 63 Abs. 1 VwVG; Art. 4 des Reglements vom 21. Februar 2008 über die Kosten und Entschädigungen vor dem Bundesverwaltungsgericht [VGKE, SR 173.320.2]).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(André Moser/Michael Beusch/Lorenz Kneu­bühler, Prozessieren vor Bundesverwaltungsgericht, Basel 2008, Rz. 4.43). Die Beschwerdeführerin obsiegt im Umfang von Fr. 6'532.- und unterliegt im Umfang von Fr. 53'239.- (vgl. Ziffer 1 und 5 der EM), also ungefähr im Verhältnis 1/8 zu 7/8. Beim vorliegenden Verfahrensausgang sind die Verfahrenskosten folglich im Umfang von 7/8, ausmachend Fr. 3'200.- (gerundet), der Beschwerdeführerin aufzuerlegen. Sie werden mit dem von ihr in der Höhe von Fr. 3'600.- geleisteten Kostenvorschuss verrechnet. Der Überschuss von Fr. 400.- wird der Beschwerdeführerin nach Rechtskraft dieses Urteils zurückerstattet. Der ESTV als Vorinstanz können keine Verfahrenskosten auferlegt werden (Art. 63 Abs. 2 VwVG). Der Beschwerdeführerin ist eine Parteientschädigung in der Höhe von Fr. 600.- zuzusprechen (vgl. Art. 8 und 9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