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A-514/2012 vom 27. August 2012</w:t>
      </w:r>
    </w:p>
    <w:p>
      <w:r>
        <w:t>Bundesverwaltungsgericht, 2012-08-27, DE</w:t>
      </w:r>
    </w:p>
    <w:p>
      <w:r>
        <w:rPr>
          <w:b/>
        </w:rPr>
        <w:t xml:space="preserve">Quelle: </w:t>
      </w:r>
      <w:r>
        <w:t>https://mcp.opencaselaw.ch/entscheid/bvger_A-514_2012</w:t>
      </w:r>
    </w:p>
    <w:p>
      <w:r>
        <w:t>FR: TAF A-514/2012 du 27 août 2012</w:t>
      </w:r>
    </w:p>
    <w:p>
      <w:r>
        <w:t>IT: TAF A-514/2012 del 27 agosto 2012</w:t>
      </w:r>
    </w:p>
    <w:p>
      <w:pPr>
        <w:pStyle w:val="Heading2"/>
      </w:pPr>
      <w:r>
        <w:t>Regeste</w:t>
      </w:r>
    </w:p>
    <w:p>
      <w:r>
        <w:t>Radio- und Fernsehempfangsgebühren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vom 20. Dezember 2011 stellt eine Verfügung im Sinn von Art. 5 VwVG dar. Das BAKOM als entscheidende Behörde ist nach Art. 33 Bst. d VGG eine zulässige Vorinstanz des Bundesverwaltungsgerichts. Dieses ist demnach zur Beurteilung der vorliegenden Beschwerde zuständig.</w:t>
      </w:r>
    </w:p>
    <w:p>
      <w:r>
        <w:rPr>
          <w:b/>
        </w:rPr>
        <w:t>E. 1.2</w:t>
      </w:r>
    </w:p>
    <w:p>
      <w:r>
        <w:t>Anfechtungsobjekt bildet der Nichteintretensentscheid vom 20. De­zember 2011. Vorliegend ist jedoch einzig die Eintretensfrage Streitgegenstand. Nach der Rechtsprechung des Bundesgerichts ist derjenige, auf dessen Begehren bzw. Rechtsmittel nicht eingetreten worden ist, befugt, durch die ordentliche Beschwerdeinstanz überprüfen zu lassen, ob dieser Nichteintretensentscheid zu Recht ergangen ist (statt vieler: BGE 124 II 499 E. 1, mit weiteren Hinweisen; vgl. auch BGE 132 V 74 E. 1.1; vgl. statt vieler: Urteil des Bundesverwaltungsgerichts A-1625/2006 vom 15. Dezember 2008 E. 1.2.2).</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Entscheids. Er ist folglich beschwerdelegitimiert.</w:t>
      </w:r>
    </w:p>
    <w:p>
      <w:r>
        <w:rPr>
          <w:b/>
        </w:rPr>
        <w:t>E. 1.4</w:t>
      </w:r>
    </w:p>
    <w:p>
      <w:r>
        <w:t>Auf die im Übrigen frist- und formgerecht eingereichte Beschwerde (Art. 50 und 52 VwVG) ist einzutreten.</w:t>
      </w:r>
    </w:p>
    <w:p>
      <w:r>
        <w:rPr>
          <w:b/>
        </w:rPr>
        <w:t>E. 2.1</w:t>
      </w:r>
    </w:p>
    <w:p>
      <w:r>
        <w:t>Als Prozessvoraussetzungen - auch Sachurteilsvoraussetzungen genannt - werden die Vorbedingungen bezeichnet, die erfüllt sein müssen, damit die Behörde eine Beschwerde behandelt und mittels eines Sachentscheids über die Begründetheit respektive Unbegründetheit der Rechtsbegehren materiell befindet (vgl. Urteile des Bundesverwaltungsgerichts A-4166/2010 vom 17. Mai 2011 E. 1.2 und A-1274/2008 vom 1. September 2009 E. 2.1; Fritz Gygi, Bundesverwaltungsrechtspflege, 2. Aufl., Bern 1983, S. 71 ff.; Alfred Kölz/Isa­belle Häner, Verwaltungsverfahren und Verwaltungsrechtspflege des Bundes, 2. Aufl., Zürich 1998, S. 150). Zu den Prozessvoraussetzungen gehören unter anderem die Beschwerdebefugnis der ein Rechtsmittel einlegenden Person (Art. 48 VwVG), ein frist- und formgerecht eingereichtes Rechtsmittel (Art. 50 und 52 VwVG) und das Fehlen anderweitiger Rechtshängigkeit oder eines rechtskräftigen Entscheides in der gleichen Sache (vgl. Urteile des Bundesverwaltungsgerichts A-4166/2010 vom 17. Mai 2011 E. 1.2 und A-1274/2008 vom 1. September 2009 E. 2.1; vgl. sodann statt vieler Gygi, a.a.O., S. 72 f.; Kölz/Häner, a.a.O., S. 150).</w:t>
      </w:r>
    </w:p>
    <w:p>
      <w:r>
        <w:rPr>
          <w:b/>
        </w:rPr>
        <w:t>E. 2.2</w:t>
      </w:r>
    </w:p>
    <w:p>
      <w:r>
        <w:t>Die allgemeine Frist zur Einreichung einer Beschwerde gegen eine Verfügung beträgt 30 Tage (Art. 50 Abs. 1 VwVG). Die nach Tagen berechnete, mitteilungsbedürftige Frist beginnt an dem auf ihre Mitteilung (Eröffnung) an die Partei folgenden Tag zu laufen (Art. 20 Abs. 1 VwVG). Die Frist für eine schriftliche Eingabe ist gewahrt, wenn sie am letzten Tag der Frist (spätestens Mitternacht) der Behörde eingereicht oder zu deren Handen der schweizerischen Post oder einer schweizerischen diplomatischen oder konsularischen Vertretung übergeben wird (Art. 21 Abs. 1 VwVG; vgl. Bernard Maître/Vanessa Thalmann [Fabia Bochsler/Kas­par Plüss], in: Waldmann/Weissenberger [Hrsg.], Praxiskommentar zum Bundesgesetz über das Verwaltungsverfahren, Zürich/Basel/Genf 2009, Rz. 5 zu Art. 21).</w:t>
      </w:r>
    </w:p>
    <w:p>
      <w:r>
        <w:rPr>
          <w:b/>
        </w:rPr>
        <w:t>E. 2.3</w:t>
      </w:r>
    </w:p>
    <w:p>
      <w:r>
        <w:t>Während die Behörden die Beweislast dafür tragen, dass ihre Verfügungen rechtsgültig eröffnet wurden, hat der Beschwerdeführer den Beweis zu erbringen, dass er die Beschwerdefrist eingehalten hat (Urteil des Bundesverwaltungsgerichts A-4166/2010 vom 17. Mai 2011 E. 1.2.1 mit Hinweisen; Stefan Vogel, in: Auer/Müller/Schindler [Hrsg.], Kommentar zum Bundesgesetz über das Verwaltungsverfahren, Zürich/St. Gallen 2008, Rz. 8 zu Art. 50).</w:t>
      </w:r>
    </w:p>
    <w:p>
      <w:r>
        <w:rPr>
          <w:b/>
        </w:rPr>
        <w:t>E. 2.4</w:t>
      </w:r>
    </w:p>
    <w:p>
      <w:r>
        <w:t>Die Rechtsmittelfristen sind die wichtigsten gesetzlichen Fristen (vgl. BGE 126 III 31 E. 1b). Sie können nicht erstreckt werden (Art. 22 Abs. 1 VwVG). 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(Vogel, a.a.O., Rz. 2 zu Art. 50). Läuft die Rechtsmittelfrist unbenutzt ab, gilt das Beschwerderecht als verwirkt und die Verfügung erwächst in formelle Rechtskraft (Urteil des Bundesverwaltungsgerichts A-1274/2008 vom 1. September 2009 E. 2.1.1; vgl. auch Maître/Thalmann, a.a.O., Rz. 16 zu Art. 21). Die formelle Rechtskraft einer Verfügung bedeutet, dass sie von den Betroffenen nicht mehr mit ordentlichen Rechtsmitteln angefochten werden kann (vgl. René Rhinow et al., Öffentliches Prozessrecht, 2. Aufl., Basel 2010, Rz. 951). Auf eine Beschwerde gegen eine formell rechtskräftige Verfügung bzw. einen formell rechtskräftigen Entscheid tritt die Beschwerdeinstanz wegen Fehlens einer der Prozessvoraussetzungen (es sei denn, es handle sich um ein Wiederaufnahme- bzw. Revisionsbegehren, einen Widerruf, eine Wiedererwägung oder eine Berichtigung) nicht ein (Urteil des Bundesverwaltungsgerichts A-1274/2008 vom 1. September 2009 E. 2.1.1; vgl. auch Vogel, a.a.O., Rz. 5 zu Art. 50; Kölz/Häner, a.a.O., S. 150; Rhinow et al., a.a.O., Rz. 951).</w:t>
      </w:r>
    </w:p>
    <w:p>
      <w:r>
        <w:rPr>
          <w:b/>
        </w:rPr>
        <w:t>E. 3</w:t>
      </w:r>
    </w:p>
    <w:p>
      <w:r>
        <w:t>Vorliegend hat die Erstinstanz am 24. Dezember 2010 verfügt und in der Rechtsmittelbelehrung den Beschwerdeführer darüber in Kenntnis gesetzt, dass er - sollte er mit dem von der Erstinstanz geforderten Gebührennachbezug nicht einverstanden sein - innert dreissig Tagen seit der Eröffnung schriftlich und begründet bei der Vorinstanz Verwaltungsbeschwerde erheben müsse. Der Beschwerdeführer reichte jedoch erst am 15. Juli 2011 - d.h., zu einem Zeitpunkt, in dem die Verfügung der Erstinstanz schon längstens in formelle Rechtskraft erwachsen war (vgl. E. 2.4 hiervor) - Beschwerde bei der Vorinstanz ein. Der Tatsache, dass er mit rund einem halben Jahr Verspätung Beschwerde bei der Vorinstanz erhoben hat, war sich der Beschwerdeführer bewusst und wird im Übrigen von ihm auch nicht bestritten (vgl. E-Mail vom 23. Juni 2011 des Beschwerdeführers an das BAKOM). Die Vorinstanz ist daher zu Recht auf seine Beschwerde nicht eingetreten (vgl. oben E. 1.2). Der angefochtene Entscheid erweist sich folglich als rechtmässig und die Beschwerde ist abzuweisen.</w:t>
      </w:r>
    </w:p>
    <w:p>
      <w:r>
        <w:rPr>
          <w:b/>
        </w:rPr>
        <w:t>E. 4</w:t>
      </w:r>
    </w:p>
    <w:p>
      <w:r>
        <w:t>Bei diesem Ausgang des Verfahrens gilt der Beschwerdeführer als unterlegene Partei, weshalb er die Verfahrenskosten zu tragen hat. Diese sind auf Fr. 500.- festzusetzen (Art. 63 Abs. 1 VwVG i.V.m. Art. 1 ff. des Reglements vom 21. Februar 2008 über die Kosten und Entschädigungen vor dem Bundesverwaltungsgericht [VGKE, SR 173.320.2]) und mit dem geleisteten Kostenvorschuss von Fr. 800.- zu verrechnen.</w:t>
      </w:r>
    </w:p>
    <w:p>
      <w:r>
        <w:rPr>
          <w:b/>
        </w:rPr>
        <w:t>E. 5</w:t>
      </w:r>
    </w:p>
    <w:p>
      <w:r>
        <w:t>Dem nicht anwaltlich vertretenen, im Ergebnis unterliegenden Beschwerdeführer ist keine Parteientschädigung zuzusprechen (Art. 64 Abs. 1 VwVG, Art. 7 Abs. 1 VGKE). Die Erst- und Vorinstanz haben ebenfalls keinen Anspruch auf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