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A-5144/2013 vom 11. März 2015</w:t>
      </w:r>
    </w:p>
    <w:p>
      <w:r>
        <w:t>Bundesverwaltungsgericht, 2015-03-11, DE</w:t>
      </w:r>
    </w:p>
    <w:p>
      <w:r>
        <w:rPr>
          <w:b/>
        </w:rPr>
        <w:t xml:space="preserve">Quelle: </w:t>
      </w:r>
      <w:r>
        <w:t>https://mcp.opencaselaw.ch/entscheid/bvger_A-5144_2013</w:t>
      </w:r>
    </w:p>
    <w:p>
      <w:r>
        <w:t>FR: TAF A-5144/2013 du 11 mars 2015</w:t>
      </w:r>
    </w:p>
    <w:p>
      <w:r>
        <w:t>IT: TAF A-5144/2013 del 11 marzo 2015</w:t>
      </w:r>
    </w:p>
    <w:p>
      <w:pPr>
        <w:pStyle w:val="Heading2"/>
      </w:pPr>
      <w:r>
        <w:t>Regeste</w:t>
      </w:r>
    </w:p>
    <w:p>
      <w:r>
        <w:t>Vorzugspreise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sie von Behörden erlassen wurden, die gemäss Art. 33 VGG als Vorinstanzen gelten, und überdies keine Ausnahme nach Art. 32 VGG vorliegt. Das BAKOM gehört zu den Behörden nach Art. 33 Bst. d VGG und ist daher Vorinstanz des Bundesverwaltungsgerichts. Eine Ausnahme nach Art. 32 VGG liegt nicht vor. Das Bundesverwaltungsgericht ist damit zur Beurteilung der vorliegenden Beschwerde zuständig.</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Die Beschwerdeführerin ist als Adressatin der angefochtenen Verfügung zur Beschwerde legitimiert.</w:t>
      </w:r>
    </w:p>
    <w:p>
      <w:r>
        <w:rPr>
          <w:b/>
        </w:rPr>
        <w:t>E. 1.4</w:t>
      </w:r>
    </w:p>
    <w:p>
      <w:r>
        <w:t>Auf die im Übrigen frist- und formgerecht eingereichte Beschwerde (Art. 50 Abs. 1 und Art. 52 Abs. 1 VwVG) ist demnach einzutreten.</w:t>
      </w:r>
    </w:p>
    <w:p>
      <w:r>
        <w:rPr>
          <w:b/>
        </w:rPr>
        <w:t>E. 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w:t>
      </w:r>
    </w:p>
    <w:p>
      <w:r>
        <w:rPr>
          <w:b/>
        </w:rPr>
        <w:t>E. 3</w:t>
      </w:r>
    </w:p>
    <w:p>
      <w:r>
        <w:t>Vorliegend ist zu prüfen, ob die Vorinstanz zu Recht auf das Gesuch der Beschwerdeführerin vom 28. Juni 2013 um Presseförderung nicht eingetreten ist.</w:t>
      </w:r>
    </w:p>
    <w:p>
      <w:r>
        <w:rPr>
          <w:b/>
        </w:rPr>
        <w:t>E. 3.1</w:t>
      </w:r>
    </w:p>
    <w:p>
      <w:r>
        <w:t>Die Beschwerdeführerin macht im Wesentlichen geltend, entgegen der Ansicht der Vorinstanz habe sie neue Argumente und neue Erkenntnisse sowie Beweismittel für die Gewährung des Gesuchs vorgelegt. Dennoch sei ihr Gesuch keiner materiellen Prüfung unterzogen worden. Dieses Vorgehen der Vorinstanz erscheine unbillig und überspitzt formalistisch, was einer Rechtsverweigerung i.S.v. Art. 29 BV gleichkomme.</w:t>
      </w:r>
    </w:p>
    <w:p>
      <w:r>
        <w:rPr>
          <w:b/>
        </w:rPr>
        <w:t>E. 3.2</w:t>
      </w:r>
    </w:p>
    <w:p>
      <w:r>
        <w:t>Die Vorinstanz entgegnet, sie habe das Gesuch der Beschwerdeführerin vom 4. Oktober 2012 materiell geprüft und sei zum Schluss gekommen, dass die Zeitung Terre &amp; Nature die Voraussetzungen der Zustellermässigung nicht erfülle. Mit Verfügung vom 13. Dezember 2012 habe sie das Gesuch um Presseförderung dementsprechend abgewiesen. Diese Verfügung sei in Rechtskraft erwachsen. Die erneuten Gesuche, insbesondere auch jenes vom 28. Juni 2013, hätten sich materiell nicht wesentlich von demjenigen 4. Oktober 2012 unterschieden. Es hätten demnach keine ausreichenden Gründe vorgelegen, um auf die formell rechtskräftige Verfügung vom 13. Dezember 2012 zurückzukommen. Sie sei deshalb zurecht auf das erneute Gesuch vom 28. Juni 2013 nicht eingetreten.</w:t>
      </w:r>
    </w:p>
    <w:p>
      <w:r>
        <w:rPr>
          <w:b/>
        </w:rPr>
        <w:t>E. 3.3.1</w:t>
      </w:r>
    </w:p>
    <w:p>
      <w:r>
        <w:t>Art. 16 Abs. 4 f. des Postgesetzes vom 17. Dezember 2010 (PG, SR 783.0) i.V.m. Art. 36 f. der Postverordnung vom 29. August 2012 (VPG, SR 783.01) regeln die Einzelheiten der Ermässigungen für die Zustellung von Presseerzeugnissen. Gemäss Art. 37 Abs. 1 VPG sind Gesuche um Gewährung der Zustellungsermässigung schriftlich beim BAKOM einzureichen. Grundsätzlich besteht gemäss dieser Bestimmung ein Recht, jederzeit ein neues Gesuch um Presseförderung einzureichen. Dies räumt denn auch die Vorinstanz in ihrer Verfügung vom 14. August 2013 ein. Entsprechend den nachfolgend dargelegten allgemeinen Grundsätzen zur Anpassung von Verfügungen kann indessen nicht unbeschränkt auf ein mit formeller Verfügung behandeltes Gesuch um Presseförderung zurückgekommen werden, sondern nur dann, wenn sich wesentliche Grundlagen geändert haben (vgl. BGE 127 II 306 E. 7a).</w:t>
      </w:r>
    </w:p>
    <w:p>
      <w:r>
        <w:rPr>
          <w:b/>
        </w:rPr>
        <w:t>E. 3.3.2</w:t>
      </w:r>
    </w:p>
    <w:p>
      <w:r>
        <w:t>Die Wiedererwägung einer rechtskräftigen Verfügung kann von Amtes wegen oder auf Gesuch hin erfolgen, wenn nachträglich eingetretene Tatsachen die Anpassung der ursprünglichen Verfügung an den neuen Sachverhalt notwendig erscheinen lassen, weil andernfalls die rechtskräftige Verfügung fehlerhaft würde. Nur Dauerverfügungen können nachträglich fehlerhaft werden (Tschannen/Zimmerli/Müller, Allgemeines Verwaltungsrecht, 4. Aufl. 2014, § 31 Rz. 41); um eine solche handelt es sich sowohl bei der Gutheissung als auch bei der Abweisung eines Gesuchs um Erteilung von Presseförderung für eine längere Dauer. Ob neue, rechtserhebliche Tatsachen vorliegen, ist im Rahmen der Eintretens­voraussetzungen zu behandeln, während die Frage, ob die ursprüngliche Verfügung anzupassen ist, Gegenstand der materiellen Beurteilung bildet (Urteil des BGer 2C_574/2012 vom 19. Februar 2013 E. 2.2). Das Rechtsinstitut der Wiedererwägung darf nicht dazu dienen, rechtskräftige Verfügungen immer wieder in Frage zu stellen oder die Fristen für die Ergreifung von Rechtsmitteln zu umgehen (vgl. BGE 136 II 177 E. 2.1). Ein Anspruch auf Wiedererwägung ergibt sich aus Art. 29 BV, wenn sich die Umstände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136 II 177 E. 2.1 und BGE 127 I 133 E. 6 je mit Hinweisen auf die langjährige Praxis des Bundesgerichts; vgl. statt vieler auch Urteil des Bundesverwaltungsgerichts A-1175/2011 vom 28. März 2012 E. 4.1 mit Hinweisen).</w:t>
      </w:r>
    </w:p>
    <w:p>
      <w:r>
        <w:rPr>
          <w:b/>
        </w:rPr>
        <w:t>E. 3.3.3</w:t>
      </w:r>
    </w:p>
    <w:p>
      <w:r>
        <w:t>Demzufolge ist vorliegend zu prüfen, ob mit Bezug auf die Verfügung des BAKOM vom 13. Dezember 2012 neue, rechtserhebliche Tatsachen vorliegen. Sofern dies der Fall wäre, lägen ausreichende Gründe vor, um auf die formell rechtskräftige Verfügung zurückzukommen.</w:t>
      </w:r>
    </w:p>
    <w:p>
      <w:r>
        <w:rPr>
          <w:b/>
        </w:rPr>
        <w:t>E. 3.4.1</w:t>
      </w:r>
    </w:p>
    <w:p>
      <w:r>
        <w:t>Die Beschwerdeführerin macht geltend, sie verweise im Gesuch vom 28. Juni 2013 auf dasjenige vom 24. April 2013, welches mit neuen Argumenten für die Gewährung der Presseförderung und mit neuen Erkenntnissen sowie Beweisen versehen sei. Den Akten ist zu entnehmen, dass sie dem Gesuch vom 28. Juni 2013 eine aktuelle Ausgabe der Zeitung Terre &amp; Nature vom 23. Mai 2013 beilegte. Im Weiteren beinhaltet die Eingabe vom 24. April 2013, auf welche das vorliegende Gesuch verweist, eine ausführliche Dokumentation. Diese enthält verschiedene Analysen (u.a. Reichweitenvergleich, Leserstruktur), welche auf der Basis der Medienstudie "Mach-Basic" erstellt worden sind. Mit diesen Beweismitteln macht die Beschwerdeführerin geltend, ihre Zeitschrift gehöre nicht zur Fach- oder Spezialpresse.</w:t>
      </w:r>
    </w:p>
    <w:p>
      <w:r>
        <w:rPr>
          <w:b/>
        </w:rPr>
        <w:t>E. 3.4.2</w:t>
      </w:r>
    </w:p>
    <w:p>
      <w:r>
        <w:t>Die von der Beschwerdeführerin ins Recht gelegten Beweismittel bzw. die damit belegten Tatsachen konnten im Verfahren, das zur Verfügung vom 13. Dezember 2012 führte, noch nicht gewürdigt werden. Sie sind demnach grundsätzlich geeignet, eine neue Entscheidgrundlage zu bilden. Das BAKOM verweigerte der Beschwerdeführerin mit der Verfügung vom 13. Dezember 2012 die Zustellermässigung, weil die Zeitung Terre &amp; Nature zur Spezialpresse im Sinn von Art. 36 Abs. 1 Bst. g VPG gehöre. Das Bundesgericht definiert die "Spezialpresse" als eine Presse, die sich an einen durch gleichartige Interessen miteinander verbundenen Leserkreis richtet, dem sie bestimmte Informationen, Kenntnisse und vertiefte Meinungen über ein bestimmtes Untersuchungsobjekt vermittelt. Ob eine Zeitung zur Spezialpresse zählt, ist nach dem Bundesgericht aufgrund der Umstände des Einzelfalls unter Einbezug des allgemeinen Eindrucks, der bei der Betrachtung und Lektüre der in Frage stehenden Zeitung gewonnen wird, zu entscheiden (Urteil des BGer 2C_568/2009 vom 21. April 2010 E. 2.2; Urteil des BVGer A 4777/2011 vom 5. April 2012 E. 7.1). Massgebend ist der Gesamteindruck der Publikation (vgl. BGE 120 Ib 150 E. 2c/aa). Aufgrund des neu eingereichten Exemplars der Zeitung liegt eine neue und wesentliche Tatsache vor, da zur Prüfung, ob eine Zeitung zur Spezialpresse gehört, zumindest in erster Linie auf den Inhalt der Publikation selber abzustellen ist. Ob aufgrund des neu eingereichten Exemplars der Zeitung effektiv der Eindruck gewonnen wird, dass es sich bei der vorliegenden Publikation nicht mehr um eine solche der Spezialpresse handelt, ist eine Frage der materiellen Beurteilung und nicht im Rahmen der Eintretensvoraussetzungen zu behandeln (E. 3.3.2). Im Weiteren schliesst die Rechtsprechung des Bundesgerichts - entgegen der Ansicht der Vorinstanz - nicht von Vornherein aus, dass eine Medienstudie zumindest als Indiz mitberücksichtigt werden kann. Ob sich dieses Beweismittel für die vorliegende Frage, ob eine Zeitschrift der Spezialpresse gegeben ist, letztlich als entscheidend herausstellt, ist hier indessen wiederum nicht zu prüfen. Massgebend ist, dass dessen grundsätzlich mögliche rechtliche Relevanz nicht von Vornherein ausgeschlossen werden kann. Demnach ist festzuhalten, dass auch insoweit eine neue rechtserhebliche Tatsache vorliegt.</w:t>
      </w:r>
    </w:p>
    <w:p>
      <w:r>
        <w:rPr>
          <w:b/>
        </w:rPr>
        <w:t>E. 3.4.3</w:t>
      </w:r>
    </w:p>
    <w:p>
      <w:r>
        <w:t>Wenn nun die Vorinstanz nicht auf das Gesuch eintritt, obwohl neue, rechtserhebliche Tatsachen vorliegen, so verwehrt sie der Beschwerdeführerin in ungerechtfertigter Weise eine materielle Prüfung ihres Gesuches.</w:t>
      </w:r>
    </w:p>
    <w:p>
      <w:r>
        <w:rPr>
          <w:b/>
        </w:rPr>
        <w:t>E. 4</w:t>
      </w:r>
    </w:p>
    <w:p>
      <w:r>
        <w:t>Gemäss Art. 61 Abs. 1 VwVG entscheidet das Bundesverwaltungsgericht in der Sache selbst oder weist diese ausnahmsweise mit verbindlichen Weisungen an die Vorinstanz zurück. Eine Rückweisung ist als Ausnahme insbesondere dann angezeigt, wenn die Vorinstanz (fälschlicherweise) einen Nichteintretensentscheid gefällt hat, der aufgrund fehlender materieller Prüfung für den Beschwerdeführer zum Verlust einer Rechtsmittelinstanz führen würde (Philippe Weissenberger, in: Waldmann/Weissenberger [Hrsg.], Praxiskommentar zum VwVG, 2009, Art. 61 N. 19). Entsprechend hat im vorliegend der Fall eine Rückweisung zu erfolgen.</w:t>
      </w:r>
    </w:p>
    <w:p>
      <w:r>
        <w:rPr>
          <w:b/>
        </w:rPr>
        <w:t>E. 5</w:t>
      </w:r>
    </w:p>
    <w:p>
      <w:r>
        <w:t>Die Beschwerde ist demnach im Eventualpunkt gutzuheissen, die angefochtene Verfügung vom 14. August 2013 aufzuheben und die Angelegenheit zur materiellen Prüfung an die Vorinstanz zurückzuweisen.</w:t>
      </w:r>
    </w:p>
    <w:p>
      <w:r>
        <w:rPr>
          <w:b/>
        </w:rPr>
        <w:t>E. 6.1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(Urteil des Bundesverwaltungsgerichts A-2601/2012 vom 3. Januar 2013 E. 4 m.H.). Die Beschwerdeführerin gilt damit als obsiegend, weshalb ihr keine Verfahrenskosten aufzuerlegen sind. Der geleistete Kostenvorschuss in der Höhe von Fr. 1'000.-- ist ihr daher nach Eintritt der Rechtskraft des vorliegenden Entscheids zurückzuerstatten.</w:t>
      </w:r>
    </w:p>
    <w:p>
      <w:r>
        <w:rPr>
          <w:b/>
        </w:rPr>
        <w:t>E. 6.2</w:t>
      </w:r>
    </w:p>
    <w:p>
      <w:r>
        <w:t>Ganz oder teilweise obsiegende Parteien haben für ihnen erwachsene notwendige und verhältnismässig hohe Kosten Anspruch auf eine Parteientschädigung (Art. 64 Abs. 1 VwVG i.V.m. Art. 7 Abs. 1 des Reglements vom 21. Februar 2008 über die Kosten und Entschädigungen vor dem Bundesverwaltungsgericht [VGKE, SR 173.320.2]). Die Parteientschädigung umfasst die Kosten der Vertretung und allfällige Auslagen der Partei. Das Gericht setzt die Parteientschädigung aufgrund der eingereichten Kostennote oder, mangels Einreichung einer solchen, aufgrund der Akten fest (Art. 14 Abs. 2 VGKE). Vorliegend hat der Rechtsvertreter der Beschwerdeführerin keine Kostennote eingereicht. Da sich das Verfahren weder als besonders schwierig noch umfangreich erwies, wird die Parteientschädigung auf Fr. 1'500.-- (inklusive Mehrwertsteuer und Auslagen) festgesetzt und der Vorinstanz zur Bezahlung auferlegt (Art. 64 Abs. 2 VwVG i.V.m. Art. 10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