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A-5136/2018 vom 9. Dezember 2019</w:t>
      </w:r>
    </w:p>
    <w:p>
      <w:r>
        <w:t>Bundesverwaltungsgericht, 2019-12-09, DE</w:t>
      </w:r>
    </w:p>
    <w:p>
      <w:r>
        <w:rPr>
          <w:b/>
        </w:rPr>
        <w:t xml:space="preserve">Quelle: </w:t>
      </w:r>
      <w:r>
        <w:t>https://mcp.opencaselaw.ch/entscheid/bvger_A-5136_2018</w:t>
      </w:r>
    </w:p>
    <w:p>
      <w:r>
        <w:t>FR: TAF A-5136/2018 du 9 décembre 2019</w:t>
      </w:r>
    </w:p>
    <w:p>
      <w:r>
        <w:t>IT: TAF A-5136/2018 del 9 dicembre 2019</w:t>
      </w:r>
    </w:p>
    <w:p>
      <w:pPr>
        <w:pStyle w:val="Heading2"/>
      </w:pPr>
      <w:r>
        <w:t>Regeste</w:t>
      </w:r>
    </w:p>
    <w:p>
      <w:r>
        <w:t>Zölle</w:t>
      </w:r>
    </w:p>
    <w:p>
      <w:pPr>
        <w:pStyle w:val="Heading2"/>
      </w:pPr>
      <w:r>
        <w:t>Erwägungen</w:t>
      </w:r>
    </w:p>
    <w:p>
      <w:r>
        <w:rPr>
          <w:b/>
        </w:rPr>
        <w:t>E. 1.0</w:t>
      </w:r>
    </w:p>
    <w:p>
      <w:r>
        <w:t>3.50</w:t>
      </w:r>
    </w:p>
    <w:p>
      <w:r>
        <w:rPr>
          <w:b/>
        </w:rPr>
        <w:t>E. 1.1</w:t>
      </w:r>
    </w:p>
    <w:p>
      <w:r>
        <w:t>Nicht erstinstanzliche Entscheide der Zollkreisdirektionen können beim Bundesverwaltungsgericht angefochten werden. Im Verfahren vor dieser Instanz wird die Zollverwaltung durch die Oberzolldirektion vertreten (Art. 31 i.V.m. Art. 33 Bst. d VGG; Art. 116 Abs. 2 des Zollgesetzes vom 18. März 2005 [ZG; SR 631.0]). Das Verfahren richtet sich - soweit das VGG nichts Anderes bestimmt - nach den Vorschriften des VwVG (Art. 37 VGG).</w:t>
      </w:r>
    </w:p>
    <w:p>
      <w:r>
        <w:rPr>
          <w:b/>
        </w:rPr>
        <w:t>E. 1.2</w:t>
      </w:r>
    </w:p>
    <w:p>
      <w:r>
        <w:t>Die Beschwerdeführerin ist durch den angefochtenen Beschwerdeentscheid vom 6. Juli 2018 besonders berührt und hat ein schutzwürdiges Interesse an dessen Aufhebung. Sie ist daher zur Beschwerde legitimiert (Art. 48 Abs. 1 VwVG). Auf die im Übrigen frist- und formgerecht eingereichte Beschwerde (Art. 50 Abs. 1 und Art. 52 Abs. 1 VwVG) ist demnach - unter Vorbehalt des nachfolgend in Erwägung 1.3 Dargelegten - einzutreten.</w:t>
      </w:r>
    </w:p>
    <w:p>
      <w:r>
        <w:rPr>
          <w:b/>
        </w:rPr>
        <w:t>E. 1.3</w:t>
      </w:r>
    </w:p>
    <w:p>
      <w:r>
        <w:t>Anfechtungsobjekt in einem Verfahren vor Bundesverwaltungsgericht bildet einzig der angefochtene vorinstanzliche Entscheid, nicht auch allfällige Entscheide unterer Instanzen. Diese sind nämlich bei Bestehen eines verwaltungsinternen Instanzenzugs durch die Entscheide der Einsprache- oder Beschwerdeinstanz ersetzt worden (Devolutiveffekt; vgl. André Moser/Michael Beusch/Lorenz Kneubühler, Prozessieren vor dem Bundesverwaltungsgericht, 2. Aufl., 2013, Rz. 2.7). Demzufolge ist auf die vorliegende Beschwerde insoweit nicht einzutreten, als mit ihr die Überprüfung der Veranlagungsverfügung der Zollstelle vom 10. November 2017 beantragt wird (vgl. Sachverhalt Bst. B.a).</w:t>
      </w:r>
    </w:p>
    <w:p>
      <w:r>
        <w:rPr>
          <w:b/>
        </w:rPr>
        <w:t>E. 1.4</w:t>
      </w:r>
    </w:p>
    <w:p>
      <w:r>
        <w:t>Gesamt 48.2 200.9 100 Daraus ergibt sich am Ende - wie von der Beschwerdeführerin vorgebracht - dass sich der für die Tarifierung relevante Traubensaftanteil auf 48.2% beläuft und somit unter 50.0% liegt. Ergänzend kann festgehalten werden, dass der Traubensaftanteil im hier zu untersuchenden Produkt selbst dann noch auf unter 50% zu liegen käme, wenn von einem massiv tieferen Brix-Wert für Ananassaft-Konzentrat, nämlich 40°Bx statt 60°Bx ausgegangen würde. Für das Gericht besteht nach dem Dargelegten kein Zweifel, dass der für die Tarifierung relevante Traubensaftanteil der streitbetroffenen Ware weniger als 50% beträgt und diese Ware somit nicht der Tarif-Nr. 2009.9030 zuzuordnen ist (vgl. dazu vorangehend E. 1.5.3).</w:t>
      </w:r>
    </w:p>
    <w:p>
      <w:r>
        <w:rPr>
          <w:b/>
        </w:rPr>
        <w:t>E. 1.5</w:t>
      </w:r>
    </w:p>
    <w:p>
      <w:r>
        <w:t>Gesamt 48.2 185.4 100.0 Die Berechnung wurde von der Oberzolldirektion anlässlich ihres E-Mails vom 16. Oktober 2017 an die Beschwerdeführerin (vgl. Sachverhalt Bst. A.d) folgendermassen erklärt: "1.Mischsaftkonzentrate werden anhand der Brix-Werte der einzelnen Komponenten in eine auf natürliche Saftstärke verdünnte Saftmischung umgerechnet. Dazu ist für jede verwendete Konzentrat-Komponente (ausg. Zucker) für die entsprechende Berechnung eine rein theoretische (virtuelle) Menge Wasser hinzuzufügen. Diese Menge hängt insbesondere vom Konzentrationsgrad der verwendeten Konzentrat-Komponenten sowie von deren Anteil in der Mischung ab. 2.Die Brix-Werte, die für diese Berechnung verwendet werden, stammen aus der Fachliteratur "z.B. Souci Fachmann Kraut, RSK-Werte". Das sind anerkannte Mittelwerte, die für die Berechnung als Referenz herbeigezogen werden. Auf diese Weise werden objektive und für alle Beteiligten einheitliche Resultate erzielt. 3.Beispiel: 4.Natürlicher Zitronensaft weist gemäss Souci Fachmann Kraut durchschnittlich einen Wassergehalt von 91% auf. Die Trockensubstanz bzw. der Brix-Wert beträgt demzufolge 9. Wird in einem Mischsaftkonzentrat ein Zitronensaftkonzentrat mit 50 Brix verwendet, bedeutet dies, dass der Zitronensaft 5.55 x konzentriert wurde (50:9 = 5.55). Für die Umrechnung auf natürliche Saftstärke wird die im Mischsaftkonzentrat verwendete Menge an Zitronensaftkonzentrat mit 5.55 multipliziert. Diese Summe ergibt den auf natürliche Saftstärke umgerechneten Anteil an Zitronensaft. 5.Auf diese Weise werden alle in einem Mischsaftkonzentrat verwendeten Konzentrat-Komponenten umgerechnet."</w:t>
      </w:r>
    </w:p>
    <w:p>
      <w:r>
        <w:rPr>
          <w:b/>
        </w:rPr>
        <w:t>E. 1.5.1</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Moser/Beusch/Kneubühler, a.a.O., Rz.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(vgl. zum Ganzen: Urteil des BVGer A-1746/ 2016 vom 17. Januar 2017 E. 1.5.1 m.w.H).</w:t>
      </w:r>
    </w:p>
    <w:p>
      <w:r>
        <w:rPr>
          <w:b/>
        </w:rPr>
        <w:t>E. 1.5.2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140 III 610 E. 4.3.4; BGE 132 III 715 E. 3.1; BGE 130 III 321 E. 3.2). Verlangt wird ein so hoher Grad der Wahrscheinlichkeit, dass vernünftigerweise mit der Möglichkeit des Gegenteils nicht mehr zu rechnen ist. Demgegenüber stellt das Beweismass der überwiegenden Wahrscheinlichkeit eine Beweiserleichterung dar und genügt nicht für den Vollbeweis (BGE 140 III 610 E. 4.1 m.w.H.; Urteil des BVGer A-6660/2011 vom 29. Mai 2012 E. 4.2.3; Moser/Beusch/Kneubühler, a.a.O., Rz. 3.140 f.; zum Ganzen: Urteil des BVGer A-1746/2016 vom 17. Januar 2017 E. 1.5.3).</w:t>
      </w:r>
    </w:p>
    <w:p>
      <w:r>
        <w:rPr>
          <w:b/>
        </w:rPr>
        <w:t>E. 1.5.3</w:t>
      </w:r>
    </w:p>
    <w:p>
      <w:r>
        <w:t>Hinsichtlich des Zollveranlagungsverfahrens ist an Beweismittel, die im Rahmen einer Beschwerde eingereicht werden, ein strenges Beweismass anzulegen (vgl. Urteil des BVGer A-6660/2011 vom 29. Mai 2012 E. 4.2.3). Die eingereichten Beweismittel müssen die behauptete Tatsache mit hinreichender Sicherheit belegen. Eine nur überwiegende Wahrscheinlichkeit genügt nicht (BGE 109 Ib 190 E. 1d; vgl. Urteile des BVGer A-6660/2011 vom 29. Mai 2012 E. 4.2.3 und A-5595/2007 vom 8. Dezember 2009 E. 2.6; vgl. zum Ganzen: Urteil des BVGer A-1746/2016 vom 17. Januar 2017 E. 1.5.4).</w:t>
      </w:r>
    </w:p>
    <w:p>
      <w:r>
        <w:rPr>
          <w:b/>
        </w:rPr>
        <w:t>E. 1.7</w:t>
      </w:r>
    </w:p>
    <w:p>
      <w:r>
        <w:t>Passionsfrucht Konz.</w:t>
      </w:r>
    </w:p>
    <w:p>
      <w:r>
        <w:rPr>
          <w:b/>
        </w:rPr>
        <w:t>E. 1.9</w:t>
      </w:r>
    </w:p>
    <w:p>
      <w:r>
        <w:t>22.0 15.0 85.0 1.47 2.79</w:t>
      </w:r>
    </w:p>
    <w:p>
      <w:r>
        <w:rPr>
          <w:b/>
        </w:rPr>
        <w:t>E. 2.1.1</w:t>
      </w:r>
    </w:p>
    <w:p>
      <w:r>
        <w:t>Waren, die ins schweizerische Zollgebiet verbracht werden, sind grundsätzlich zollpflichtig und nach dem Zollgesetz sowie nach dem Zolltarifgesetz vom 9. Oktober 1986 (ZTG; SR 632.10) zu veranlagen (Art. 7 ZG). Grundlage der Zollveranlagung bildet die Zollanmeldung (Art. 18 Abs. 1 ZG). Diese basiert auf dem Selbstdeklarationsprinzip, wo-nach von der anmeldepflichtigen Person eine vollständige und richtige Deklaration der Ware verlangt wird (vgl. dazu Art. 21 ff. ZG). Hinsichtlich der diesbezüglichen Sorgfaltspflicht werden an die anmeldepflichtige Person hohe Anforderungen gestellt (Barbara Schmid, in: Kocher/Clavadetscher [Hrsg.], Handkommentar zum Zollgesetz, 2009, Art. 18 N. 3 f.; vgl. statt vieler: Urteil des BVGer A-5320/2018 vom 26. August 2019 E. 2.3.2). Durch das Selbstdeklarationsprinzip tritt der Untersuchungsgrundsatz zwar in den Hintergrund, verschwindet aber nicht vollkommen (vgl. nachfolgend E. 3.4.2). Die von der Zollstelle angenommene Zollanmeldung ist für die anmeldepflichtige Person verbindlich (Art. 33 ZG; vgl. zum Ganzen: BGE 142 II 433 E. 2.1).</w:t>
      </w:r>
    </w:p>
    <w:p>
      <w:r>
        <w:rPr>
          <w:b/>
        </w:rPr>
        <w:t>E. 2.1.2</w:t>
      </w:r>
    </w:p>
    <w:p>
      <w:r>
        <w:t>In Abweichung dieses Grundsatzes der Verbindlichkeit bzw. der "Unabänderlichkeit" der angenommenen Zollanmeldung kennt das Zollrecht die Möglichkeit der Berichtigung (Art. 34 ZG). Diese ist an kurze Fristen gebunden (vgl. Art. 34 Abs. 3 und 4 ZG), was mit Blick auf die Identitätssicherung der Ware unabdingbar ist (vgl. BGE 142 II 433 E. 3.2.4 und 3.2.7). In inhaltlicher Hinsicht beruht die zollrechtliche Berichtigung sodann darauf, dass ein Irrtum bewirkt, dass die tatsächliche Wareneigenschaft und jene, wie sie zur Veranlagung herangezogen worden ist, auseinanderfällt (vgl. dazu BGE 142 II 433 E. 3.3.4, wo das Bundesgericht festgehalten hat, dass es in der Natur der Sache liege, dass wohl jede Form der Berichtigung einen so oder anders gearteten Irrtum voraussetzt, zumal ansonsten die Frage im Raum stünde, weshalb die ursprüngliche Veranlagung überhaupt zu berichtigen sei).</w:t>
      </w:r>
    </w:p>
    <w:p>
      <w:r>
        <w:rPr>
          <w:b/>
        </w:rPr>
        <w:t>E. 2.1.3</w:t>
      </w:r>
    </w:p>
    <w:p>
      <w:r>
        <w:t>Die Zollstelle kann die angenommene Zollanmeldung und die Begleitdokumente während des Veranlagungsverfahrens jederzeit überprüfen (Art. 35 ZG). Auch die Ware selbst kann einer Überprüfung unterzogen werden, um festzustellen, ob die Anmeldepflichten tatsächlich erfüllt worden sind. Dazu steht der Zollverwaltung die Möglichkeit der Beschau offen. Wird sie angeordnet, kann sie umfassend - bezogen auf sämtliche Waren einer Anmeldung - oder stichprobenweise - nur bei einem Teil der Sendung - durchgeführt werden (vgl. Art. 36 Abs. 1 ZG). Das Ergebnis der Beschau - der sog. Zollbefund - wird schriftlich festgehalten. Es bildet die Grundlage für die Veranlagung und allfällige weitere Verfahren (Art. 37 Abs. 3 ZG). Der Zollbefund ersetzt demnach - selbst bei einer bloss stichprobenweise erfolgten Prüfung - die eigentliche Zollanmeldung und tritt an deren Stelle (Art. 37 Abs. 1 und 3 ZG; vgl. zum Ganzen: Urteil des BVGer A-7486/2016 vom 14. Dezember 2017 E. 2.1).</w:t>
      </w:r>
    </w:p>
    <w:p>
      <w:r>
        <w:rPr>
          <w:b/>
        </w:rPr>
        <w:t>E. 2.2.1</w:t>
      </w:r>
    </w:p>
    <w:p>
      <w:r>
        <w:t>Gemäss Art. 1 ZTG sind alle Waren, die über die schweizerische Zollgrenze ein- und ausgeführt werden, nach dem Generaltarif zu verzollen, welcher in den Anhängen 1 und 2 des Zolltarifgesetzes enthalten ist.</w:t>
      </w:r>
    </w:p>
    <w:p>
      <w:r>
        <w:rPr>
          <w:b/>
        </w:rPr>
        <w:t>E. 2.2.2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vgl. zum Ganzen: Urteile des BVGer A-5624/2018 vom 19. Juli 2019 E. 4.1 und A-7486/2016 vom 14. Dezember 2017 E. 3.1.2).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Oberzolldirektion eingesehen oder im Internet abgerufen werden (www.ezv.admin.ch bzw. www.tares.ch). Dasselbe gilt für den Gebrauchstarif (Art. 15 Abs. 2 und Anhänge 1 und 2 ZTG; vgl. dazu nachfolgend E. 2.2.3). Trotz fehlender Veröffentlichung in der AS kommt dem Generaltarif Gesetzesrang zu (statt vieler: Urteil des BGer 2C_436/2015 vom 22. Juli 2016 E. 5; Urteile des BVGer A-3030/2013 vom 8. Mai 2014 E. 2.1.2 und A-5558/2013 vom 4. April 2014 E. 2.1.3 mit weiteren Hinweisen; Michael Beusch/Monique Schnell Luchsinger, Wie harmonisiert ist das Harmonisierte System wirklich? in: Zollrevue, 1/2017 S. 12 ff., 12; vgl. Urteile des BVGer A-5624/2018 vom 19. Juli 2019 E. 4.2, A-7486/2016 vom 14. Dezember 2017 E. 3.1.3 und A-1753/2006 vom 23. Juni 2008 E. 2.2).</w:t>
      </w:r>
    </w:p>
    <w:p>
      <w:r>
        <w:rPr>
          <w:b/>
        </w:rPr>
        <w:t>E. 2.2.3</w:t>
      </w:r>
    </w:p>
    <w:p>
      <w:r>
        <w:t>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1004 f.; vgl. auch Botschaft vom 22. Oktober 1985 betreffend das HS-Übereinkommen sowie über die Anpassung des schweizerischen Zolltarifs, BBl 1985 III 357 377 f.; vgl. zum Ganzen: Urteile des BVGer A-3030/2013 vom 8. Mai 2014 E. 2.1.1 und A-5558/2013 vom 4. April 2014 E. 2.1.2 mit zahlreichen weiteren Hinweisen). Der Gebrauchstarif, der für die Alltagspraxis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(vgl. zum Ganzen: Urteile des BVGer A-5624/2018 vom 19. Juli 2019 E. 4.1 und A-7486/2016 vom 14. Dezember 2017 E. 3.1.2).</w:t>
      </w:r>
    </w:p>
    <w:p>
      <w:r>
        <w:rPr>
          <w:b/>
        </w:rPr>
        <w:t>E. 2.3</w:t>
      </w:r>
    </w:p>
    <w:p>
      <w:r>
        <w:t>Bananensaft Konz.</w:t>
      </w:r>
    </w:p>
    <w:p>
      <w:r>
        <w:rPr>
          <w:b/>
        </w:rPr>
        <w:t>E. 2.3.1</w:t>
      </w:r>
    </w:p>
    <w:p>
      <w:r>
        <w:t>Für die Tarifeinreihung massgebend sind die Art, Menge und Beschaffenheit der Ware im Zeitpunkt, in dem diese der Zollstelle angemeldet wird, sowie die Zollansätze und Bemessungsgrundlagen, die im Zeitpunkt der Entstehung der Zollschuld gelten (Art. 19 Abs. 1 Bst. a und b ZG).</w:t>
      </w:r>
    </w:p>
    <w:p>
      <w:r>
        <w:rPr>
          <w:b/>
        </w:rPr>
        <w:t>E. 2.3.2</w:t>
      </w:r>
    </w:p>
    <w:p>
      <w:r>
        <w:t>Die Schweizerischen Erläuterungen (zu deren hier nicht weiter auszuführenden Stellenwert im Rahmen der Auslegung vgl. statt vieler: Urteil des BVGer A-7486/2016 vom 14. Dezember 2017 E. 3.2 und 3.3) zu den (hier interessierenden) Tarifnummern 2009.9030/9039 lauteten bis am 31. März 2018 wie folgt: "Hierher gehören Mischungen von Säften, die über 50% Trauben- und/oder Kernobstsaft enthalten, eingedickt. Massgebend für die Berechnung sind dabei die Anteile in der rückverdünnten Mischung (vgl. vorstehende Erläuterungen)." Per 1. April 2018 wurden diese Erläuterungen wie folgt präzisiert (wobei diese Präzisierung keinen Einfluss auf die Tarifeinreihung im hier vorliegenden Fall hat): "Hierher gehören Mischungen von Säften, die über 50% Trauben- und/oder Kernobstsaft enthalten, eingedickt. Massgebend für die Berechnung sind dabei die Anteile in der rückverdünnten Mischung. Zusätze von unter den Ziffern 1 - 4 der vorstehenden Erläuterungen genannten Stoffen sowie der Mischung bereits zugesetztes Wasser bleiben dabei unberücksichtigt. Als rückverdünnte Säfte gelten eingedickte Säfte, denen Wasser in einer Menge zugesetzt wurde, wie es in entsprechenden nicht eingedickten Säften üblicher Beschaffenheit enthalten ist. Für die Berechnung der natürlichen Saftanteile werden die vom Wassergehalt abgeleiteten Brix-Werte aus der Fachliteratur "Souci-Fachmann-Kraut, Nährwert-Tabellen" verwendet. Sofern dort keine aussagekräftigen Angaben zu finden sind, können andere Quellen in Betracht gezogen werden."</w:t>
      </w:r>
    </w:p>
    <w:p>
      <w:r>
        <w:rPr>
          <w:b/>
        </w:rPr>
        <w:t>E. 2.3.3</w:t>
      </w:r>
    </w:p>
    <w:p>
      <w:r>
        <w:t>«Grad Brix» ist eine Masseinheit der relativen Dichte von Flüssigkeiten. Eine Flüssigkeit weist 1 Grad Brix (°Bx) auf, wenn sie dieselbe Dichte hat wie wenn 1g Saccharose in 99g Wasser aufgelöst wird (einprozentige Saccharose/Wasser Lösung). Der Brix-Wert wird dazu verwendet, das Massenverhältnis von Zucker und Wasser zu bestimmen, wenn eine bestimmte Menge Zucker in der Lösung enthalten ist. 25°Bx bedeuten beispielsweise, dass in 100 g Lösung 25 g Zucker enthalten ist. Mit anderen Worten: In 100 g Zuckerlösung sind 25 g Zucker und 75 g Wasser enthalten (vgl. diesbezüglich Urteil des BVGer A-642/2008 vom 3. März 2010 E. 3.4.1 mit Verweis auf Brockhaus Enzyklopädie, 17. Aufl., 19. Bd., Wiesbaden 1974, S. 299). Wird einer solchen Lösung Wasser entzogen, ist der Zuckeranteil in der verbleibenden Menge Flüssigkeit höher und so steigt auch der Brix-Wert dieser neuen (dichteren bzw. konzentrierten) Lösung. Da direkter Fruchtsaft in der Regel mehr Wasser enthält als Fruchtsaftkonzentrat, ist der Brix-Wert eines Konzentrats in den allermeisten Fällen höher als derjenige des ursprünglichen Direktsaftes. Eine Ausnahme bilden "Säfte" aus Früchten, welche kaum Flüssigkeit enthalten, wie etwa die Banane. Verarbeitet man diese zu "Saft", entsteht daraus eher ein Püree. Dieses weiter zu konzentrieren ist kaum möglich, vielmehr handelt es sich bei diesem Püree schon um eine Art "Konzentrat" (zumal es kaum Wasser enthält). Das, heisst, der Brix-Wert des "Bananensaftes" unterscheidet sich nicht oder kaum vom Brix-Wert des "Bananenkonzentrats" (vgl. diesbezüglich auch die Tabelle in E. 3.4).</w:t>
      </w:r>
    </w:p>
    <w:p>
      <w:r>
        <w:rPr>
          <w:b/>
        </w:rPr>
        <w:t>E. 2.4.1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(vgl. BGE 131 II 627 E. 6.1 und statt vieler: Urteil des BVGer A-7486/2016 vom 14. Dezember 2017 E. 2.2.1).</w:t>
      </w:r>
    </w:p>
    <w:p>
      <w:r>
        <w:rPr>
          <w:b/>
        </w:rPr>
        <w:t>E. 2.4.2</w:t>
      </w:r>
    </w:p>
    <w:p>
      <w:r>
        <w:t>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Mündliche oder schriftliche Auskünfte und Zusicherungen einer Verwaltungsbehörde bilden eine Vertrauensgrundlage, wenn sie sich auf eine konkrete, den betroffenen Privaten berührende Angelegenheit beziehen (vgl. BGE 143 V 95 E. 3.6.2, BGE 137 II 182 E. 3.6.2 und BGE 131 II 627 E. 6.1). Auf die weiteren Voraussetzungen des Vertrauensschutzes muss im vorliegenden Verfahren nicht eingegangen werden (zum Ganzen: BVGer A-7486/2016 vom 14. Dezember 2017 E. 2.2.2).</w:t>
      </w:r>
    </w:p>
    <w:p>
      <w:r>
        <w:rPr>
          <w:b/>
        </w:rPr>
        <w:t>E. 2.4.3</w:t>
      </w:r>
    </w:p>
    <w:p>
      <w:r>
        <w:t>Tarifauskünfte der Zollverwaltung stellen einen Anwendungsfall des Vertrauensprinzips dar. Gemäss Art. 20 Abs. 1 ZG erteilt die EZV auf schriftliche Anfrage schriftliche Auskunft über die zolltarifarische Einreihung und den präferenziellen Ursprung von Waren (Urteil des BVGer A-7486/ 2016 vom 14. Dezember 2017 E. 2.2.3).</w:t>
      </w:r>
    </w:p>
    <w:p>
      <w:r>
        <w:rPr>
          <w:b/>
        </w:rPr>
        <w:t>E. 2.5</w:t>
      </w:r>
    </w:p>
    <w:p>
      <w:r>
        <w:t>Mangopüree Konz.</w:t>
      </w:r>
    </w:p>
    <w:p>
      <w:r>
        <w:rPr>
          <w:b/>
        </w:rPr>
        <w:t>E. 2.7</w:t>
      </w:r>
    </w:p>
    <w:p>
      <w:r>
        <w:t>Mangopüree Konz.</w:t>
      </w:r>
    </w:p>
    <w:p>
      <w:r>
        <w:rPr>
          <w:b/>
        </w:rPr>
        <w:t>E. 2.9</w:t>
      </w:r>
    </w:p>
    <w:p>
      <w:r>
        <w:t>30.0 8.0 92.0 3.75 10.88 5.4 Aprikosenpüree Konz.</w:t>
      </w:r>
    </w:p>
    <w:p>
      <w:r>
        <w:rPr>
          <w:b/>
        </w:rPr>
        <w:t>E. 3.1</w:t>
      </w:r>
    </w:p>
    <w:p>
      <w:r>
        <w:t>Im vorliegenden Fall ist die Tarifierung der im Sachverhalt erwähnten Einfuhrsendung von Fruchtmischsaftkonzentrat strittig (vgl. Sachverhalt Bst. B.a f.). Die Beschwerdeführerin ist der Ansicht, das Fruchtmischsaftkonzentrat sei unter die Tarif-Nr. 2009.9099 mit dem Zollansatz von CHF 18.00/100 kg einzureihen, während die Vorinstanz die Tarif-Nr. 2009.9030 mit dem Zollansatz von CHF 782.00/100 kg als einschlägig betrachtet. Die Uneinigkeit ergibt sich im hier zu beurteilenden Fall ausschliesslich daraus, dass die Vorinstanz gemäss ihren Berechnungen davon ausgeht, dass der Traubensaftanteil des in Frage stehenden Produkts bei über 50% liegt und somit die Tarif-Nr. 2009.9030 zur Anwendung gelangen würde. Dass dem so wäre, wird von der Beschwerdeführerin nicht in Frage gestellt. Sie weist jedoch darauf hin, dass die Berechnung durch die Zollverwaltung pflichtwidrig anhand falscher Zahlen vorgenommen worden sei und der massgebende Traubensaftanteil im vorliegenden Fall tatsächlich bei unter 50% liege. Dies führe dazu, dass nicht die Tarif-Nr. 2009.9030, sondern die Tarif-Nr. 2009.9099 anwendbar sei.</w:t>
      </w:r>
    </w:p>
    <w:p>
      <w:r>
        <w:rPr>
          <w:b/>
        </w:rPr>
        <w:t>E. 3.2</w:t>
      </w:r>
    </w:p>
    <w:p>
      <w:r>
        <w:t>Vorab gilt es festzuhalten, dass vorliegend kein Berichtigungsfall vorliegt (vgl. diesbezüglich Sachverhalt Bst. A.h). Die Spediteurin hat die Ware ursprünglich korrekt angemeldet (vgl. Sachverhalt Bst. A.b) und später aufgrund der Tarifauskunft der Zollverwaltung in Absprache mit dieser eine "Berichtigung" verlangt (vgl. Sachverhalt Bst. A.c und Bst. A.f). Sie ist damit lediglich einer Änderung der Veranlagung durch die Zollverwaltung zuvorgekommen (vgl. Sachverhalt Bst. A.f). Diese Konstellation ist gleich zu handhaben wie eine solche, in welcher eine Zollkontrolle einen Zollbefund nach sich zieht, welcher an die Stelle der ursprünglichen Zollanmeldung tritt (vgl. E. 2.1.3). Weder in der einen noch in der anderen Situation gibt es in Bezug auf die Veranlagung etwas zu "berichtigen", zumal die Veranlagung entweder auf die verbindliche Auskunft der Zollverwaltung zurückgeht oder auf einer entsprechenden Anordnung der Zollverwaltung beruht. Nach dem Gesagten hat die Beschwerdeführerin im vorliegenden Fall zu Recht den Rechtsmittelweg beschritten (vgl. Art. 116 ZG).</w:t>
      </w:r>
    </w:p>
    <w:p>
      <w:r>
        <w:rPr>
          <w:b/>
        </w:rPr>
        <w:t>E. 3.3</w:t>
      </w:r>
    </w:p>
    <w:p>
      <w:r>
        <w:t>Zurecht nicht bestritten wird, dass es sich beim in Frage stehenden Fruchtmischsaftkonzentrat um einen eingedickten Mischsaft handelt. Strittig und zu prüfen ist, ob der Traubensaftanteil über 50% liegt.</w:t>
      </w:r>
    </w:p>
    <w:p>
      <w:r>
        <w:rPr>
          <w:b/>
        </w:rPr>
        <w:t>E. 3.4</w:t>
      </w:r>
    </w:p>
    <w:p>
      <w:r>
        <w:t>Die Vorinstanz berechnete den massgebenden Traubensaftanteil in den Produkten [b] und [a] (beide bezeichnet als: [Produktname] - Gefrorener konzentrierter Multivitamin-Multifruchtnektar) anhand der Angaben, welche die Spediteurin anlässlich ihrer Anfrage vom 28. September 2019 (Sachverhalt Bst. A.b) eingereicht hatte, namentlich anhand der in Bst. A.l des Sachverhalts aufgeführten Liste, welche hier nochmals angezeigt wird: Raw material name Percentagein Multi Nectar Brix value concentrate Brix value "Ready to drink" (= rückverdünnt) Zucker 42.9% 67 Traube 22.4% 70 16.2 Orange 9.5% 65 11.2 Wasser 8.1% 0 Ananassaft Konz. 4.2% 12.8 12.8 Bananensaft Konz. 3.5% 21.0 21.0 Passionsfrucht Konz. 1.9% 50.0 13.5 Zitronensaft Konz. 2.9% 30.0 8.0 Aprikosenpüree Konz. 1.9% 30.0 11.2 Mangopüree Konz. 1.9% 22.0 15.0 Total 99.2% Das Ergebnis der Rechnung der Zollverwaltung sah im konkreten Fall gemäss angefochtener Verfügung folgendermassen aus: Spalte 1 Spalte 2 Spalte 3 Spalte 4 Spalte 5 Spalte 6 Spalte 7 Spalte 8 Fruchtkomponente Anteilin Mischung% Brix Trocken-substanz (=Brix rückverdünnt) Wasser-gehalt Konzentrationsfaktor Rückverdünnter Saft (Gesamtmenge) Saftgehalt % im Endprodukt Traubensaft 22.4 70 16.2 83.8 4.32 96.79 52.2 Orangensaft 9.5 65 11.2 88.8 5.80 55.13 29.7 Ananassaft Konz. 4.2 12.8 12.8 87.2</w:t>
      </w:r>
    </w:p>
    <w:p>
      <w:r>
        <w:rPr>
          <w:b/>
        </w:rPr>
        <w:t>E. 3.4.1</w:t>
      </w:r>
    </w:p>
    <w:p>
      <w:r>
        <w:t>Die Erläuterungen zur Tarifnummer 2009 unterscheiden eingedickte Säfte aufgrund ihres Brix-Wertes (vgl. E. 2.3.3) von den entsprechenden nicht eingedickten Säften. Folgerichtig stellen sowohl die Beschwerdeführerin als auch die Vorinstanz zurecht auf die Brix-Werte ab, um den Konzentrationsgrad eines Fruchtsaftes zu eruieren. Demnach müssen die Komponenten des Fruchtmischsaftkonzentrates zur Berechnung des Traubensaftanteils (rechnerisch) soweit verdünnt werden, dass die Brix-Werte in der rückverdünnten Mischung den Brix-Werten entsprechen, wie sie in natürlichen (d.h. weder verdünnten noch konzentrierten) Säften üblicherweise vorkommen bzw. wie sie meistens oder normalerweise vorkommen. Die Brix-Werte im rückverdünnten Saft müssen Erfahrungsmittelwerten entsprechen (vgl. dazu Urteil des BVGer A-7486/2016 vom 14. Dezember 2017 E. 5.3). Um die Anteile der einzelnen Saftkomponenten im rückverdünnten Saft feststellen zu können, sind - entsprechend der Berechnungsmethode der Oberzolldirektion - vorab die Brix-Werte der Konzentrate (Spalte 3 der Tabelle auf S. 15) mit den Brix-Werten der natürlichen Säfte (Spalte 4) ins Verhältnis zu setzen (Wert in Spalte 3 dividiert durch den Wert in Spalte 4). Der so errechnete Konzentrationsgrad der einzelnen Saftkomponenten (Spalte 6) ist sodann mit ihrem jeweiligen Anteil im Fruchtmischsaftkonzentrat (Spalte 2) zu multiplizieren und das sich hieraus ergebende Resultat (Spalte 7) anschliessend mit der Gesamtmenge des rückverdünnten Fruchtsafts (gemäss Berechnung der Zollverwaltung im vorliegenden Fall 185.4) ins Verhältnis zu setzen (Spalte 8). Aus dem Dargelegten ergibt sich, dass diese Rechnung nur gelingen kann, wenn in jeder Spalte mit dem jeweils korrekten Wert operiert wird. Es ist denn auch unbestritten, dass eine falsche Angabe in Bezug auf ein einziges Konzentrat zu einem falschen Ergebnis in Bezug auf den für die Tarifeinreihung relevanten Traubensaftgehalt führt (vgl. dazu Sachverhalt Bst. A.l, S. 6 und Bst. B.b).</w:t>
      </w:r>
    </w:p>
    <w:p>
      <w:r>
        <w:rPr>
          <w:b/>
        </w:rPr>
        <w:t>E. 3.4.2</w:t>
      </w:r>
    </w:p>
    <w:p>
      <w:r>
        <w:t>Im vorliegenden Fall hat die Zollverwaltung (zunächst die Oberzolldirektion anlässlich ihrer Tarifauskunft vom 10. Oktober 2017 [vgl. Sachverhalt Bst. A.c] und später auch die Vorinstanz) ihrer Berechnung die Brix-Wert-Tabelle zu Grunde gelegt, welche die Spediteurin eingereicht hatte (vgl. Sachverhalt Bst. A.l und E. 3.4). Sie hat dabei übersehen, dass betreffend das Ananassaft-Konzentrat in der Spalte "Brix value concentrate" (Brix-Wert des Konzentrats) und in der Spalte "Brix value Ready to drink" (Brix-Wert des rückverdünnten Saftes) derselbe Wert, nämlich 12.8 eingetragen war. Dass das nicht stimmen kann, zumal die Dichte eines Konzentrats einer sehr wasserhaltigen Frucht wie der Ananas (im Gegensatz etwa zur kaum wasserhaltigen Banane) zwangsläufig höher ist als die Dichte eines nicht konzentrierten Ananassafts, hätte der Vorinstanz, anlässlich ihrer Berechnungen zur Erteilung der Tarif-Auskunft vom 10. Oktober 2017, ins Auge springen und nach Treu und Glauben zu einer Rückfrage an die Adresse der Zollpflichtigen bzw. der Spediteurin (und damit zur Gewährung des rechtlichen Gehörs) führen müssen. Es trifft zwar zu, dass die Zollpflichtige aufgrund des Selbstdeklarations- prinzips grundsätzlich für die korrekte Zollanmeldung - zu welcher auch korrekte Begleitdokumente gehören - verantwortlich ist und die Zollbehörde nicht gehalten ist, Nachforschungen betreffend deren Richtigkeit anzustellen. Verhält es sich allerdings - wie im hier zu beurteilenden Fall - so, dass die zuständige Zollbehörde für die rechtmässige Tarifierung nicht einfach auf die Angaben der zollpflichtigen Person abstellen kann, sondern anhand dieser Angaben - in einem zweiten Schritt - Berechnungen anstellen muss, gebietet es der Untersuchungsgrundsatz (vgl. vorangehend E. 2.1.1), und im Übrigen auch der Grundsatz des Handelns nach Treu und Glauben (vgl. vorangehend E. 2.4.1), dass augenfällige Fehler in diesen Angaben - welche sich nota bene unbestrittenermassen unmittelbar auf das Resultat der Berechnung auswirken - angesprochen und der Korrektur zugänglich gemacht werden. Zu beachten ist hierbei, dass im vorliegenden Fall die Nämlichkeit der Ware nie in Frage stand. Die zur Ware gehörenden Produktspezifikationen wurden - mit Ausnahme der Angaben zum Ananassaft-Konzentrat - von keiner Seite angezweifelt. Sodann bewegt sich der Brix-Wert von Fruchtsaft-Konzentraten in einem anerkannten Spektrum, wobei er rein physikalisch auch nicht beliebig verändert bzw. verfälscht werden kann. Zu jeder Frucht gibt es sowohl für den Direktsaft als auch für Konzentrat entsprechende Referenzzahlen.</w:t>
      </w:r>
    </w:p>
    <w:p>
      <w:r>
        <w:rPr>
          <w:b/>
        </w:rPr>
        <w:t>E. 3.4.3</w:t>
      </w:r>
    </w:p>
    <w:p>
      <w:r>
        <w:t>Eine einfache Internetrecherche zum Stichwort "Ananassaftkonzentrat Brix" führt ausschliesslich zu Ergebnissen, welche den Brix-Wert zwischen 56 und 65 angeben, wobei überdurchschnittlich oft der Wert 60 erscheint. Dieser Wert erweist sich denn auch im Vergleich mit den (vorliegend unbestrittenen) Brix-Werten anderer Konzentrate aus ähnlich wasserhaltigen Früchten (z.B. Orange: 65°Bx oder Traube: 70°Bx) als plausibel. Sodann besteht auch kein Anlass, an der Korrektheit des durch die Herstellerin nachgereichten Brix-Wertes für Ananassaft-Konzentrat zu zweifeln, zumal alle anderen Werte von der Vorinstanz nicht angezweifelt worden und für die Berechnung des für die Tarifeinreihung relevanten Traubensaftanteils verwendet worden sind. Diese Angaben sind denn auch für die anzustellende korrekte Berechnung heranzuziehen, wobei die Angabe "Brix-Wert Ananassaft-Konzentrat" von 12.8°Bx mit 60°Bx zu ersetzen ist.</w:t>
      </w:r>
    </w:p>
    <w:p>
      <w:r>
        <w:rPr>
          <w:b/>
        </w:rPr>
        <w:t>E. 3.4.4</w:t>
      </w:r>
    </w:p>
    <w:p>
      <w:r>
        <w:t>Unter den dargelegten Umständen erübrigen sich Ausführungen dazu, ob bzw. gegebenenfalls inwieweit die von der Beschwerdeführerin nachträglich eingereichten Berechnungen des Labors Veritas AG zu berücksichtigen sind, zumal diese für die Lösung des vorliegenden Falles gar nicht benötigt werden (vgl. Sachverhalt Bst. B.f). Es ist lediglich die von der Zollverwaltung durchgeführte Berechnung zu wiederholen, diesmal allerdings mit dem korrekten Brix-Wert für Ananassaft-Konzentrat.</w:t>
      </w:r>
    </w:p>
    <w:p>
      <w:r>
        <w:rPr>
          <w:b/>
        </w:rPr>
        <w:t>E. 3.4.5</w:t>
      </w:r>
    </w:p>
    <w:p>
      <w:r>
        <w:t>Die neue Rechnung präsentiert sich (hier am Beispiel des Ananassaft-Konzentrats) wie folgt: 1.60 / 12.8 = 4.69(Spalte 3 / Spalte 4 = Spalte 6) 2.4.69 x 4.2 = 19.69(Spalte 6 x Spalte 2 = Spalte 7) 3.Alle Werte in der Spalte 7 ergeben die Gesamtmenge an rückverdünntem Saft (neu: 200.9). 4.Rechnung: Wie viel Prozent der Gesamtmenge (200.9) sind 19.69? Resultat: 9.8 (Spalte 8) Diese Rechnungsschritte sind in Bezug auf alle Fruchtkomponenten zu wiederholen: Spalte 1 Spalte 2 Spalte 3 Spalte 4 Spalte 5 Spalte 6 Spalte 7 Spalte 8 Fruchtkomponente Anteilin Mischung% Brix Trocken-substanz (=Brix rückverdünnt) Wasser-gehalt Konzentrationsfaktor Rückverdünnter Saft (Gesamtmenge) Saftgehalt % im Endprodukt Traubensaft 22.4 70 16.2 83.8 4.32 96.79 48.2 Orangensaft 9.5 65 11.2 88.8 5.80 55.13 27.4 Ananassaft Konz. 4.2 60 12.8 87.2 4.69 19.69 9.8 Bananensaft Konz.</w:t>
      </w:r>
    </w:p>
    <w:p>
      <w:r>
        <w:rPr>
          <w:b/>
        </w:rPr>
        <w:t>E. 3.5</w:t>
      </w:r>
    </w:p>
    <w:p>
      <w:r>
        <w:t>Nach dem Gesagten ist die Beschwerde gutzuheissen, soweit darauf einzutreten ist. Der angefochtene Beschwerdeentscheid vom 6. Juli 2018 ist aufzuheben und die Sache zur Neuberechnung der Zollabgaben im Sinne der vorstehenden Erwägungen an die Vorinstanz zurückzuweisen.</w:t>
      </w:r>
    </w:p>
    <w:p>
      <w:r>
        <w:rPr>
          <w:b/>
        </w:rPr>
        <w:t>E. 3.8</w:t>
      </w:r>
    </w:p>
    <w:p>
      <w:r>
        <w:t>Zitronensaft Konz.</w:t>
      </w:r>
    </w:p>
    <w:p>
      <w:r>
        <w:rPr>
          <w:b/>
        </w:rPr>
        <w:t>E. 4.1</w:t>
      </w:r>
    </w:p>
    <w:p>
      <w:r>
        <w:t>Bei diesem Verfahrensausgang sind der obsiegenden Beschwerdeführerin und der Vorinstanz keine Verfahrenskosten aufzuerlegen (Art. 63 VwVG). Der im vorliegenden Verfahren geleistete Kostenvorschuss in Höhe von Fr. 3'000.-- wird der Beschwerdeführerin zurückerstattet.</w:t>
      </w:r>
    </w:p>
    <w:p>
      <w:r>
        <w:rPr>
          <w:b/>
        </w:rPr>
        <w:t>E. 4.2</w:t>
      </w:r>
    </w:p>
    <w:p>
      <w:r>
        <w:t>Die Vorinstanz hat der obsiegenden Beschwerdeführerin eine Parteientschädigung für die dieser erwachsenen notwendigen Kosten auszurichten (Art. 64 Abs. 1 und 2 VwVG; Art. 7 des Reglements vom 21. Februar 2008 über die Kosten und Entschädigungen vor dem Bundesverwaltungsgericht, VGKE; SR 173.320.2). Die Parteientschädigung umfasst die Kosten der Vertretung und allfällige weitere Auslagen der Partei (Art. 8 Abs. 1 VGKE). Gemäss Art. 14 Abs. 1 VGKE haben Parteien, welche Anspruch auf Parteientschädigung erheben, dem Gericht vor dem Entscheid eine detaillierte Kostennote einzureichen. Andernfalls setzt das Gericht die Parteientschädigung aufgrund der Akten fest. Im vorliegenden Fall wurde keine Kostennote eingereicht, weshalb sie aufgrund der Akten rechtsprechungsgemäss auf Fr. 4'500.-- festzusetzen ist.</w:t>
      </w:r>
    </w:p>
    <w:p>
      <w:r>
        <w:rPr>
          <w:b/>
        </w:rPr>
        <w:t>E. 5</w:t>
      </w:r>
    </w:p>
    <w:p>
      <w:r>
        <w:t>Der vorliegende Entscheid über die Tarifierung kann nicht mit Beschwerde in öffentlich-rechtlichen Angelegenheiten an das Bundesgericht weitergezogen werden (Art. 83 Bst. l BGG).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