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A-5125/2012 vom 20. Juni 2013</w:t>
      </w:r>
    </w:p>
    <w:p>
      <w:r>
        <w:t>Bundesverwaltungsgericht, 2013-06-20, DE</w:t>
      </w:r>
    </w:p>
    <w:p>
      <w:r>
        <w:rPr>
          <w:b/>
        </w:rPr>
        <w:t xml:space="preserve">Quelle: </w:t>
      </w:r>
      <w:r>
        <w:t>https://mcp.opencaselaw.ch/entscheid/bvger_A-5125_2012</w:t>
      </w:r>
    </w:p>
    <w:p>
      <w:r>
        <w:t>FR: TAF A-5125/2012 du 20 juin 2013</w:t>
      </w:r>
    </w:p>
    <w:p>
      <w:r>
        <w:t>IT: TAF A-5125/2012 del 20 giugno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A-5617/2012 vom 25. März 2013 E. 1.1). Das Verfahren vor dem Bundesverwaltungsgericht richtet sich nach dem VwVG, soweit das VGG nichts anderes bestimmt (Art. 37 VGG).</w:t>
      </w:r>
    </w:p>
    <w:p>
      <w:r>
        <w:rPr>
          <w:b/>
        </w:rPr>
        <w:t>E. 1.2</w:t>
      </w:r>
    </w:p>
    <w:p>
      <w:r>
        <w:t>Vorliegend ist darauf hinzuweisen, dass die Risikoerklärung am 22. Ok­tober 2012 erlassen wurde, während die Beschwerdeschrift bereits vom 24. Sep­tember 2012 datiert. Indes war bereits aufgrund des Formulars "Gewährung des rechtlichen Gehörs" vom 19. September 2012 vom Erlass einer negativen Risikoerklärung auszugehen. Vor diesem Hintergrund ist die vorzeitige Beschwerdeeinreichung nachvollziehbar und die Eingabe als Beschwerde gegen die Risikoerklärung vom 22. Oktober 2012 entgegenzunehmen (vgl. den ähnlichen Fall im Urteil des Bundesverwaltungsgerichts A-4163/2012 vom 16. Januar 2013 E. 1.1; s.a. André Moser/Michael Beusch/Lorenz Kneubühler, Prozessieren vor dem Bundesverwaltungsgericht, Basel 2008, Rz. 2.117 m.H.). Der Beschwerdeführer leistete den Kostenvorschuss und zog seine Beschwerde nicht schriftlich zurück, weshalb ungeachtet seiner fehlenden Mitwirkung im Verfahren davon auszugehen ist, dass er an der Beschwerde festhalten möchte. Da er sich trotz mehrfachen Aufforderungen nicht mehr zur Sache vernehmen liess, ist androhungsgemäss aufgrund der Akten zu entscheiden.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8C_788/2011 vom 2. Mai 2012 E. 5.1.2)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Im Folgenden ist zu prüfen, ob ein Hinderungsgrund für die Überlassung der persönlichen Waffe gemäss Art. 113 Abs.1 Bst. d MG vorliegt und ob die Empfehlung, vom Überlassen einer Waffe an den Beschwerdeführer abzusehen, inhaltlich rechtmässig ist.</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 des Bundesverwaltungsgerichts A-5617/2012 vom 25. März 2013 E. 3.3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A-5617/2012 vom 25. März 2013 E. 3.4 m.H.). 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 in der Lebensführung erheblich eingeschränkt (statt vieler Urteil des Bundesverwaltungsgerichts A-5617/2012 vom 25. März 2013 E. 3.4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insbesondere auch Einsicht in eingestellte Strafverfahren nehmen und diese bei ihrer Risikobeurteilung berücksichtigen. Für die vorliegenden Zwecke ist nicht entscheidend, ob die genannten Vorkommnisse zu Einträgen im Strafregister geführt haben. Bei einer Personensicherheitsprüfung ist nicht nur auf die im Strafregister verzeichneten Straftaten abzustellen, sondern auf sämtliche bekannten Vorgänge, die einen Eindruck der zu prüfenden Person vermitteln (Urteile des Bundesverwaltungsgerichts A-4163/2012 vom 16. Januar 2013 E. 7.3, A-1070/2012 vom 17. Oktober 2012 E. 3.3.1, zur Gesamtbetrachtung auch Urteile des Bundesverwaltungsgerichts A-874/2012 vom 16. August 2012 E. 5.3 und A-3037/2011 vom 27. März 2012 E. 8). Eingestellte Strafverfahren sind für die Risikoeinschätzung im Rahmen einer Personensicherheitsprüfung nicht unbesehen mit Freisprüchen gleichzusetzen (Urteil des Bundesverwaltungsgerichts A-1070/2012 vom 17. Oktober 2012 E. 3.3.1 und A-5617/2012 vom 25. März 2013 E. 3.4 m.H.). Art. 113 Abs. 1 Bst. d Ziff. 2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A-2266/2012 vom 25. März 2013 E. 5.6 ff. und E. 6).</w:t>
      </w:r>
    </w:p>
    <w:p>
      <w:r>
        <w:rPr>
          <w:b/>
        </w:rPr>
        <w:t>E. 3.4</w:t>
      </w:r>
    </w:p>
    <w:p>
      <w:r>
        <w:t>Zur Begründung der Risikoverfügung legt die Vorinstanz zusammengefasst Folgendes dar, wobei sie sich nicht nur auf die eingeholten Akten, sondern vor allem auch auf die Befragung stützt: Die Ausführungen des Beschwerdeführers zu den beiden Fahrerflucht-Vorfällen würden eine Bagatellisierungstendenz aufzeigen, weshalb Zweifel an seiner Integrität und Vertrauenswürdigkeit aufkämen. Da er über längere Zeit und wiederholt seine eigenen Bedürfnisse über diejenigen des Gesetzgebers gestellt und trotz bereits erfolgter Verurteilung erneut delinquiert habe, nehme er es anscheinend mit geltenden Gesetzen und Normen nicht so ernst. Im Kontext eines mangelnden Gefahrenbewusstseins und mangelhaften Normempfindens seien deshalb seine Integrität, Vertrauenswürdigkeit und Zuverlässigkeit im Hinblick auf das Überlassen der persönlichen Waffe als eingeschränkt anzusehen. Es könne auf dieser Basis nicht ausgeschlossen werden, dass der Beschwerdeführer nicht auch bezüglich des Umgangs mit der Armeewaffe, mit Munition oder Explosivstoffen unüberlegt und unverantwortlich handeln würde. Aus der Einstellungsverfügung vom 23. November 2010 ergäbe sich, dass er bei einer tätlichen Auseinandersetzung anwesend gewesen sei und danach zusammen mit den Mitangeschuldigten fluchtartig den Tatort verlassen und dabei eine Kollision verursacht habe. Obwohl er also nicht aktiv an der Auseinandersetzung beteiligt gewesen sei, habe er diese zumindest passiv toleriert und anschliessend den Mitangeschuldigten aktiv zur Flucht verholfen. Sodann habe er anlässlich der persönlichen Befragung einen weiteren Vorfall geschildert, bei dem einer seiner Kollegen plötzlich von einer betrunkenen Person mit einem Messer angegriffen worden sei; hierbei hätte er versucht, den Kollegen wegzuziehen, aber nicht anderweitig eingegriffen. Weiter sei er gemäss seiner Aussage einmal von mehreren Personen mit Baseballschlägern spitalreif geschlagen worden; dies habe sich ereignet, weil der Haupttäter der Auffassung gewesen sei, seine Ex-Frau habe ein Verhältnis mit ihm gehabt. Bereits einen Monat zuvor sei er bei einem Konflikt zwischen dem Haupttäter und dessen Ex-Frau zur Schlichtung des Streits anwesend gewesen. Auch wenn der Beschwerdeführer vorbringe, nie selbst tätlich geworden zu sein und es ihm bewusst sei, dass diese Sachen gefährlich gewesen seien und er vieles gelernt, sich positiv gebessert habe und keinen Kontakt mehr zu diesen Personen pflege, seien diese Vorfälle zu berücksichtigen. Er sei in auffällig viele aggressive Vorfälle verwickelt und bewege sich in einem Umfeld, in dem überdurchschnittlich viele körperliche Auseinandersetzungen stattfinden würden. Ausserdem habe er beim Führen eines Motorfahrzeugs in alkoholisiertem Zustand zumindest passiv in Kauf genommen, dass Sachen Schaden nehmen oder Personen verletzt werden könnten; zweimal sei effektiv Drittschaden entstanden. Vorliegend sei von einem erhöhten Gewaltpotenzial auszugehen.</w:t>
      </w:r>
    </w:p>
    <w:p>
      <w:r>
        <w:rPr>
          <w:b/>
        </w:rPr>
        <w:t>E. 3.5</w:t>
      </w:r>
    </w:p>
    <w:p>
      <w:r>
        <w:t>Der Beschwerdeführer legt dar, weshalb seine persönlichen Verhältnisse nicht als ungeordnet einzustufen seien. Er beschreibt seinen Alltag und bringt vor, das Arbeitsverhältnis zwischen ihm, seinen Mitarbeitern und seinem Chef sei positiv. Ebenso seien die Familienverhältnisse friedlich. Er gehe fast täglich ins Fitnessstudio und verbringe die Wochenenden mit seinem jüngeren Bruder. Zu den Strafregistereinträgen bemerkt er, er habe aus seinen Fehlern bezüglich des Autofahrens gelernt. Er wisse, dass dieses Verhalten nicht angemessen gewesen sei. Er habe dieses Jahr einen BFU-Kurs besucht und werde eine Verkehrspsychologin aufsuchen. Was den anderen Vorfall vom Herbst 2010 angehe, so habe er persönlich nicht Hand angelegt und pflege keinen Kontakt mehr mit diesen Personen. Er fühle sich schuldig, den Opfern nicht geholfen zu haben und bedauere dies sehr. Er könne versichern, dass er keine Aggressionsprobleme habe und nicht zu gewalttätigen Massnahmen neige.</w:t>
      </w:r>
    </w:p>
    <w:p>
      <w:r>
        <w:rPr>
          <w:b/>
        </w:rPr>
        <w:t>E. 3.6</w:t>
      </w:r>
    </w:p>
    <w:p>
      <w:r>
        <w:t>Zusammenfassend ist festzuhalten, dass der Beschwerdeführer schon verschiedentlich mit Strafverfolgungsbehörden konfrontiert und bei überdurchschnittlich vielen tätlichen Auseinandersetzungen anwesend war. Freilich weisen nicht alle fraglichen Verhaltensweisen einen unmittelbaren Bezug zu Waffen auf und dem Beschwerdeführer ist nicht vorzuwerfen, selbst gewalttätig gewesen zu sein. Die Vorkommnisse, insbesondere die beiden Vorfälle mit der Fahrerflucht, offenbaren indessen die Bereitschaft des Beschwerdeführers, sich zur Verfolgung seiner Zwecke über geltendes Recht hinwegzusetzen (vgl. Urteil des Bundesverwaltungsgerichts A-874/2012 vom 16. August 2012 E. 5.3). Auch die Anwesenheit bei verschiedenen tätlichen Auseinandersetzungen erscheint im Verhältnis zu derjenigen anderer Männer im gleichen Alter überdurchschnittlich häufig. Die Vorinstanz legt eingehend dar, weshalb sie es als Risiko ansieht, dem Beschwerdeführer eine persönliche Waffe zu überlassen. Sie hat sich bei ihrer Beurteilung insgesamt von sachgerechten Überlegungen leiten lassen. Von einem ausserordentlich grossen Risiko kann zwar nicht ausgegangen werden, namentlich da der Beschwerdeführer die Stabilisierung seiner Lebensumstände in letzter Zeit glaubhaft darlegt. Indem die Vorinstanz die Empfehlung ausspricht, von einer Überlassung der persönlichen Waffe sei abzusehen, setzt sie entsprechend einen strengen Massstab an. Jedoch besteht für das Bundesverwaltungsgericht kein hinreichender Grund, von der Beurteilung der Vorinstanz abzuweichen.</w:t>
      </w:r>
    </w:p>
    <w:p>
      <w:r>
        <w:rPr>
          <w:b/>
        </w:rPr>
        <w:t>E. 4.1</w:t>
      </w:r>
    </w:p>
    <w:p>
      <w:r>
        <w:t>Zu prüfen bleibt die Verhältnismässigkeit der entsprechenden Anordnungen. Der Beschwerdeführer führt nichts zur Verhältnismässigkeit aus.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 (vgl. Urteil des Bundesverwaltungsgerichts A-5617/2012 vom 25. März 2013 E. 4.2).</w:t>
      </w:r>
    </w:p>
    <w:p>
      <w:r>
        <w:rPr>
          <w:b/>
        </w:rPr>
        <w:t>E. 4.2</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A-5617/2012 vom 25. März 2013 E. 4.2 m.H.; s.a. Ulrich Häfelin/Georg Müller/Felix Uhlmann, Allgemeines Verwaltungsrecht, 6. Aufl., Zürich 2010, Rz. 581).</w:t>
      </w:r>
    </w:p>
    <w:p>
      <w:r>
        <w:rPr>
          <w:b/>
        </w:rPr>
        <w:t>E. 4.3</w:t>
      </w:r>
    </w:p>
    <w:p>
      <w:r>
        <w:t>Bei der vorliegenden Sachlage ist mit der Vorinstanz einig zu gehen, dass keine flankierenden Massnahmen ersichtlich sind, welche das Risiko eines Waffenmissbrauchs auf ein vertretbares Ausmass verringern könnten (s.a. Urteile des Bundesverwaltungsgerichts A-5617/2012 vom 25. März 2013 E. 4.2, A-2631/2012 vom 6. März 2013 E. 6.3 sowie A-5324/2012 vom 31. Januar 2013 E. 5.6). Zu prüfen bleibt, ob die Risikoerklärung in Abwägung der privaten und öffentlichen Interessen als zumutbar zu erachten ist. Die Rekrutierung des Beschwerdeführers ist zwar faktisch ausgeschlossen (statt vieler Urteil des Bundesverwaltungsgerichts A-2631/2012 vom 6. März 2013 E. 6.3). Damit dürfte sich der Wunsch des Beschwerdeführers, Militärdienst zu leisten, sei es mit einer Waffe oder waffenlos, bei Abweisung der vorliegenden Beschwerde nicht erfüllen (s.a. Urteil des Bundesverwaltungsgerichts A-2631/2012 vom 6. März 2013 E. 6.3). Mit Ausnahme der Tatsache, dass der Beschwerdeführer die Wehrpflichtersatzabgabe wird leisten müssen, sind jedoch für den Fall einer Nichtrekrutierung keine konkreten, ernsthaften Nachteile für ihn erkennbar (s.a. Urteile des Bundesverwaltungsgerichts A-2631/2012 vom 6. März 2013 E. 6.3 sowie A-5319/2011 vom 5. April 2012 E. 5.4). Der Besuch der Rekrutenschule vermag zwar allenfalls auch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(statt vieler Urteil des Bundesverwaltungsgerichts A-5324/2012 vom 31. Januar 2013 E. 5.5.4).</w:t>
      </w:r>
    </w:p>
    <w:p>
      <w:r>
        <w:rPr>
          <w:b/>
        </w:rPr>
        <w:t>E. 4.4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abzuweisen ist.</w:t>
      </w:r>
    </w:p>
    <w:p>
      <w:r>
        <w:rPr>
          <w:b/>
        </w:rPr>
        <w:t>E. 5</w:t>
      </w:r>
    </w:p>
    <w:p>
      <w:r>
        <w:t>Bei diesem Verfahrensausgang gilt der Beschwerdeführer als unterliegend. Er hat deshalb in Anwendung von Art. 63 Abs. 1 VwVG die auf Fr. 500.-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