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A-5112/2011 vom 20. August 2012</w:t>
      </w:r>
    </w:p>
    <w:p>
      <w:r>
        <w:t>Bundesverwaltungsgericht, 2012-08-20, DE</w:t>
      </w:r>
    </w:p>
    <w:p>
      <w:r>
        <w:rPr>
          <w:b/>
        </w:rPr>
        <w:t xml:space="preserve">Quelle: </w:t>
      </w:r>
      <w:r>
        <w:t>https://mcp.opencaselaw.ch/entscheid/bvger_A-5112_2011</w:t>
      </w:r>
    </w:p>
    <w:p>
      <w:r>
        <w:t>FR: TAF A-5112/2011 du 20 août 2012</w:t>
      </w:r>
    </w:p>
    <w:p>
      <w:r>
        <w:t>IT: TAF A-5112/2011 del 20 agosto 2012</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Bei der Gebührenverfügung des BAZL handelt es sich um ein gültiges Anfechtungsobjekt (vgl. Ur­teile des Bundesverwaltungsgerichts A-6337/2010 vom 13. September 2011 E. 1.1 und A-4903/2010 vom 17. März 2011 E. 1.1.1 mit Hinweisen).</w:t>
      </w:r>
    </w:p>
    <w:p>
      <w:r>
        <w:rPr>
          <w:b/>
        </w:rPr>
        <w:t>E. 1.2</w:t>
      </w:r>
    </w:p>
    <w:p>
      <w:r>
        <w:t>Das BAZL ist als Behörde gemäss Art. 33 VGG Vorinstanz des Bundes­verwaltungsgerichts. Eine Ausnahme bezüglich Sachgebiet ist nicht ge­geben (Art. 32 VGG). Das Bundesverwaltungsgericht ist daher für die Be­urteilung dieser Beschwerde zuständig. Das Verfahren richtet sich nach dem VwVG, soweit das VGG nichts anderes bestimmt (Art. 37 VGG).</w:t>
      </w:r>
    </w:p>
    <w:p>
      <w:r>
        <w:rPr>
          <w:b/>
        </w:rPr>
        <w:t>E. 1.3</w:t>
      </w:r>
    </w:p>
    <w:p>
      <w:r>
        <w:t>Zur Beschwerde ist gemäss Art. 48 VwVG berechtigt, wer vor der Vor­instanz am Verfahren teilgenommen oder keine Möglichkeit zur Teilnah­me erhalten hat, durch die angefochtene Verfügung besonders berührt ist und ein schutzwürdiges Interesse an deren Aufhebung oder Ände­rung hat. Die Lions Air AG ist als Adressatin der angefochtenen Verfügun­gen durch diese beschwert und zur Beschwerde legitimiert. Die Sky Jet AG führt gemeinsam mit der Lions Air AG Beschwerde; da es genügt, wenn eine der Beschwerdeführerinnen legitimiert ist, kann offen bleiben, ob Letztere auch legitimiert wäre (vgl. Urteil des Bundesverwaltungsgerichts A-667/2010 vom 1. März 2012 E. 1.2 mit Hinweisen).</w:t>
      </w:r>
    </w:p>
    <w:p>
      <w:r>
        <w:rPr>
          <w:b/>
        </w:rPr>
        <w:t>E. 1.4</w:t>
      </w:r>
    </w:p>
    <w:p>
      <w:r>
        <w:t>Streitgegenstand in der nachträglichen Verwaltungsrechtspflege ist das Rechtsverhältnis, das Gegenstand der angefochtenen Verfügung bildet, soweit es im Streit liegt. Er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(André Moser/Michael Beusch/Lorenz Kneubühler, Prozessieren vor dem Bundesverwaltungsgericht, Basel 2008, Rz. 2.7 ff.; statt vieler Ur­teil des Bundesverwaltungsgerichts A-8457/2010 vom 14. Juni 2011 E. 1.2.1; vgl. auch BGE 136 II 457 E. 4.2, 133 II 35 E. 2 und 131 V 164 E. 2.1). Ein Teil der Vorbringen der Beschwerdeführerinnen zielt allein auf die Verfah­rensdauer respektive den dadurch verursachten Schaden ab, beispiels­weise die Argumente zu den angemessenen Behandlungsfristen, zum Zeitpunkt, an dem die Akten vollständig eingereicht waren oder zur Fra­ge, ob nicht eine vorübergehende Bewilligung des Hawker möglich ge­wesen wäre. Da jedoch vorliegend weder eine Staatshaftungsklage erho­ben noch ein Begehren um Feststellung einer Rechtsverzögerung gestellt wurde, sondern der Streitgegenstand ausdrücklich auf die Kostenver­fügung vom 20. Juli 2011 beschränkt wurde, sind diese Beanstandun­gen nicht zu untersuchen. Hingegen ist die Frage nach dem angemes­se­nen Umfang der vorinstanzlichen Prüfung im Zusammenhang mit der Ge­büh­renauferlegung in dieser Verfügung näher zu prüfen. Auf die in Sachver­halt Bst. F-H genannten, nicht angefochtenen drei Kostenverfügungen ist nur einzugehen, soweit sie in direktem Zusammenhang damit stehen.</w:t>
      </w:r>
    </w:p>
    <w:p>
      <w:r>
        <w:rPr>
          <w:b/>
        </w:rPr>
        <w:t>E. 1.5</w:t>
      </w:r>
    </w:p>
    <w:p>
      <w:r>
        <w:t>Auf die im Übrigen frist- und formgerecht eingereichten Beschwerden (Art. 50 und 52 VwVG) ist demnach unter Vorbehalt der Ausführungen in Er­wägung 1.4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(Art. 49 VwVG). Bei technischen Problemen, Fachfragen oder sicherheitsrelevanten Einschät­zungen auferlegt es sich jedoch eine gewisse Zurückhaltung, was vor­liegend bedeutsam ist, da die Vorinstanz als Luftfahrts-Fachbehörde über ein besonderes Fachwissen bezüglich der für die Gewährleistung der Flugsicherheit erforderlichen Vorkehrungen verfügt und ihr diesbezüglich ein Ermessensspielraum einzuräumen ist (vgl. BVGE 2010/19 E. 4.2, Ur­teil des Bundesverwaltungsgerichts A-3330/2008 vom 23. März 2009 E. 8.4). Uneingeschränkt zu prüfen hat das Bundesverwaltungsgericht, ob die Vorinstanz den Sachverhalt korrekt festgestellt, die für den Entscheid we­sentlichen Gesichtspunkte geprüft, die erforderlichen Abklärungen sorg­fältig und umfassend vorgenommen hat und sich dabei von sachkonfor­men Erwägungen hat leiten lassen (vgl. zum Ganzen BVGE 2010/19 E. 4).</w:t>
      </w:r>
    </w:p>
    <w:p>
      <w:r>
        <w:rPr>
          <w:b/>
        </w:rPr>
        <w:t>E. 3</w:t>
      </w:r>
    </w:p>
    <w:p>
      <w:r>
        <w:t>Die Beschwerdeführerinnen stellen ohne Begründung An­trag auf Durchfüh­rung einer Referentenaudienz. Diese ist weder im VwVG noch im VGG ausdrücklich geregelt. Aus der Gesamtheit der Eingaben ergibt sich, dass mit diesem Antrag ein Beweisantrag zur Zeugeneinvernahme und Par­teibefragung gemeint sein dürfte. Gemäss Art. 12 VwVG stellt die Behör­de den Sachverhalt von Amtes wegen fest und bedient sich nötigenfalls verschiedener Beweismittel wie z.B. Gutachten oder dem Zeugnis von Drittpersonen. Die Behörde nimmt die ihr angebotenen Beweise ab, wenn diese zur Abklärung des Sachverhaltes tauglich erscheinen (Art. 33 Abs. 1 VwVG). Aus dem Gebot der Gewährung des rechtlichen Gehörs folgt der Anspruch auf Abnahme der von einer Partei angebotenen Bewei­se, soweit diese erhebliche Tatsachen betreffen und nicht offensichtlich be­weisuntauglich sind.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(statt vieler BGE 134 I 140 E. 5.3 und BGE 131 I 153 E. 3 mit Hinweisen; Urteil des Bundesverwaltungsgerichts A-5938/2011 vom 4. Juli 2012 E. 2.3). Im vorliegenden Fall ergibt sich der Sachverhalt mit genügender Klarheit aus den Akten. Falls es sich also um einen Antrag um Abnahme weiterer Beweismittel handelt, ist dieser in antizipierter Be­weiswürdigung abzuweisen. Wenn die Beschwerdeführerinnen mit ihrem Antrag auf Durchführung einer Referentenaudienz Vergleichsgespräche beantragen, ist darauf hinzu­weisen, dass die Erledigung eines Verwaltungsverfahrens durch einen Ver­gleich aufgrund der üblicherweise zwingenden Natur des materiellen Ver­waltungsrechts sowie durch das Rechtsgleichheitsgebot begrenzt ist (Mo­ser/Beusch/Kneubühler, a.a.O., Rz. 3.213). Angesichts der detaillier­ten Regelungen der Gebühren in der GebV-BAZL ist kein Verhand­lungs­spielraum bezüglich der Gebührenhöhe vorhanden, sondern diese be­misst sich nach dem geleisteten Aufwand (vgl. Art. 5 Abs. 1 und 2 GebV-BAZL). Somit kann ohnehin kein Vergleich geschlossen werden, wes­halb ein Antrag auf Durchführung von Vergleichsgesprächen abzuleh­nen ist.</w:t>
      </w:r>
    </w:p>
    <w:p>
      <w:r>
        <w:rPr>
          <w:b/>
        </w:rPr>
        <w:t>E. 4</w:t>
      </w:r>
    </w:p>
    <w:p>
      <w:r>
        <w:t>Umstritten ist vorliegend die Höhe der Gebühren, welche die Vorinstanz ge­stützt auf Art. 39 Abs. 1 Bst. b GebV-BAZL für die Anpassung des AOC ver­fügte. Nachfolgend erfolgt zunächst ein Überblick über die wichtigsten Rechts­grundlagen, bevor geklärt wird, ob die Prüfung zu umfangreich war und die Vorinstanz dadurch das Rechtsgleichheitsgebot verletzt hat, mit über­spitztem Formalismus vorgegangen ist oder ihren Ermessensspiel­raum überschritten hat.</w:t>
      </w:r>
    </w:p>
    <w:p>
      <w:r>
        <w:rPr>
          <w:b/>
        </w:rPr>
        <w:t>E. 4.1</w:t>
      </w:r>
    </w:p>
    <w:p>
      <w:r>
        <w:t>Die rechtlichen Grundlagen des AOC finden sich im europäischen Re­gelungssystem. Dieses ist über das Abkommen zwischen der Schweizeri­schen Eidgenossenschaft und der Europäischen Gemeinschaft über den Luftverkehr vom 21. Juni 1999 auch für die Schweiz verbindlich (Luft­ver­kehrsabkommen, SR 0.748.127.192.68; vgl. Regula Dettling-Ott/ Urs Haldimann, Luftverkehrsrecht Teil II: Betrieb der Luftfahrt, in: Georg Mül­ler [Hrsg.], Verkehrsrecht, SBVR Bd. IV, Basel 2008, Teil H, Rz. 26 ff.): Ge­mäss Art. 1 Abs. 2 dieses Abkommens gelten die Bestimmungen, die in diesem Abkommen sowie in den im Anhang aufgeführten Verordnun­gen und Richtlinien enthalten sind, auch in der Schweiz (vgl. Urteile des Bun­desgerichts 2C_840/2011 vom 30. April 2012 E. 2 und 2C_842/2010 vom 13. Januar 2012 E. 2; Urteile des Bundesverwaltungsgerichts A-6337/2010 vom 13. September 2011 E. 4.5 und A-3950/2011 vom 12. Ap­ril 2012 E. 4.5). Einem Unternehmen wird eine Betriebsbewilligung für die gewerbsmässi­ge Beförderung von Personen oder Gütern nur erteilt, wenn es über ein AOC verfügt (Art. 103 Bst. d LFV; Art. 4 Bst. b und Art. 6 der Verordnung [EG] Nr. 1008/2008 vom 24. September 2008 über gemeinsame Vor­schrif­ten für die Durchführung von Luftverkehrsdiensten in der Gemein­schaft [ABl. L 293 vom 31. Oktober 2008, S. 3 ff.] in Verbindung mit Ziff. 1 des Anhangs zum Luftverkehrsabkommens). Das AOC bescheinigt, dass der Luftverkehrsbetreiber die fachliche Eignung und Organisation besitzt, um die Sicherheit des im Zeugnis genannten Betriebs gemäss den einschlä­gigen Bestimmungen des Gemeinschaftsrechts oder gegebenenfalls des einzelstaatlichen Rechts zu gewährleisten (Art. 2 Ziff. 8 der Verordnung [EG] Nr. 1008/2008). Die Voraussetzungen zur Erteilung, Änderung und Aufrechterhaltung der Gültigkeit des AOC sind Gegenstand des Anhangs III Bst. C der Verordnung (EWG) Nr. 3922/91 des Rates vom 16. De­zember 1991 zur Harmonisierung der technischen Vorschriften und der Verwaltungsverfahren in der Zivilluftfahrt (nachfolgend: EU-OPS; ABl. L 373 vom 31. Dezember 1991, S. 4; massgebend ist vorliegend die Fassung vom 20. August 2008 [ABl. L 254 vom 20. September 2008 S. 1]). Für die Erteilung respektive Änderung eines AOC und die damit verbunde­nen Anpassungen der Betriebshandbücher enthält die EU-OPS Normen: EU-OPS 1.175 Bst. b bestimmt, der Behörde müsse bei einer Änderung des AOC ermöglicht werden, alle Sicherheitsaspekte des beabsich­tig­ten Betriebs zu prüfen. Der Luftfahrtunternehmer muss ihr eine Kopie des Betriebshandbuchs mit allen Ergänzungen und Änderungen zur Verfü­gung stellen (EU-OPS 1.175 Bst. p). Um ein AOC erlangen zu können, ist u.a. das sogenannte Betriebshandbuch (Operation Manuals, OM) erfor­derlich, das in die Teile OM-A bis OM-D gegliedert ist (vgl. dazu EU-OPS 1.1040). EU-OPS 1.180 und 1.185 nennen weitere Voraussetzungen, namentlich enthält Letzterer Vorgaben zu den administrativen Anforde­rungen für den Antrag auf Erstausstellung, Änderung, Verlängerung oder Erneuerung eines AOC. Der Abschnitt P der EU-OPS enthält in 1.1040 allgemeine Regeln für das Betriebshandbuch: Der Luftfahrtunterneh­mer hat u.a. sicherzustellen, dass der Inhalt des Betriebshandbuchs nicht im Widerspruch zu den Bestimmungen im AOC steht (Bst. b). Er hat für die erforderlichen Ergänzungen oder Änderungen des Betriebshandbuch zu sorgen, damit der Inhalt auf dem neusten Stand ist (Bst. g), und hat die von der Luftfahrtbehörde geforderten Ergänzungen und Änderungen in das Betriebshandbuch einzuarbeiten (Bst. j). EU-OPS 1.1045 respek­tive dessen Anlage 1 normieren die Gliederung und den Inhalt des Be­triebshandbuchs.</w:t>
      </w:r>
    </w:p>
    <w:p>
      <w:r>
        <w:rPr>
          <w:b/>
        </w:rPr>
        <w:t>E. 4.2</w:t>
      </w:r>
    </w:p>
    <w:p>
      <w:r>
        <w:t>Die Beschwerdeführerinnen bringen vor, die Vorinstanz habe das Rechts­gleicheitsgebot verletzt, indem sie die langjährige Erfahrung der Be­schwerdeführerinnen zu wenig berücksichtigt habe (vgl. v.a. Sachverhalt Bst. B).</w:t>
      </w:r>
    </w:p>
    <w:p>
      <w:r>
        <w:rPr>
          <w:b/>
        </w:rPr>
        <w:t>E. 4.2.1</w:t>
      </w:r>
    </w:p>
    <w:p>
      <w:r>
        <w:t>Art. 8 Abs. 1 BV statuiert ein allgemeines Rechtsgleichheitsgebot, was bedeutet, dass gleichgelagerte Fälle in gleicher Weise, aber unterschied­liche Fälle unterschiedlich zu behandeln sind; beides ist sowohl auf der Rechtssetzungs- wie auch auf der Rechtsanwendungsebene bedeutsam (statt vieler Giovanni Biaggini, BV Kommentar, Art. 8 Rz. 9 ff. mit Hin­weisen).</w:t>
      </w:r>
    </w:p>
    <w:p>
      <w:r>
        <w:rPr>
          <w:b/>
        </w:rPr>
        <w:t>E. 4.2.2</w:t>
      </w:r>
    </w:p>
    <w:p>
      <w:r>
        <w:t>Die in Erwägung 4.1 genannten Regelungen unterscheiden bezüglich Anforderungsniveau nicht zwischen Neuausstellung und Änderung ei­nes AOC. Vielmehr zeigt die ausdrückliche Nennung der Variante Änderung, dass auch die Situation bedacht wurde, in welcher ein bisheriger In­ha­ber eines AOC, mithin ein erfahrener Betreiber, etwas verändern möchte. Die Regelungen zeigen zudem die hohe Priorität der Sicherheit des Flug­betriebs. Diese Zielvorgabe gebietet, auch Änderungsanträge darauf hin zu prüfen, ob alle Voraussetzungen erfüllt sind. Ein vereinfachtes Verfah­ren für Antragssteller mit Vorkenntnissen ist weder vorgesehen noch las­sen die detaillierten Vorgaben Raum dafür. Diese fehlende Differenzie­rung in der Rechtsetzung ist nicht zu beanstanden, da alle Luftfahrtbetrei­ber den gleichen qualitativen Anforderungen genügen sollten, auch wenn ein Änderungsgesuch in der Regel weniger aufwändig zu bearbeiten sein dürf­te als ein Gesuch um Neuausstellung; diesen Umstand hat der Verord­nungsgeber mit den unterschiedlichen Gebührenrahmen in Art. 39 Abs. 1 Bst. a GebV-BAZL für Neuausstellungen respektive Bst. b dieser Norm für Änderungen berücksichtigt. Entgegen den Ausführungen der Be­schwerdeführerinnen gewährleistet allein die Tatsache der langjährigen Er­fahrung das erforderliche Fachwissen nicht ohne Weiteres (vgl. Urteil des Bundesverwaltungsgerichts A-3330/2008 vom 23. März 2009 E. 8.4). Fer­ner ist zu bemerken, dass sie nicht näher konkretisieren und be­legen, in­wiefern ihr Änderungsgesuch eingehender geprüft worden sein soll als Ge­suche anderer Unternehmen. Der Ansicht der Beschwerdeführerinnen, sie würden rechtsungleich behandelt, kann deshalb nicht gefolgt werden.</w:t>
      </w:r>
    </w:p>
    <w:p>
      <w:r>
        <w:rPr>
          <w:b/>
        </w:rPr>
        <w:t>E. 4.3</w:t>
      </w:r>
    </w:p>
    <w:p>
      <w:r>
        <w:t>Die Beschwerdeführerinnen machen geltend, die Vorinstanz sei zu for­malistisch vorgegangen und habe ihr Prüfungsermessen überschritten.</w:t>
      </w:r>
    </w:p>
    <w:p>
      <w:r>
        <w:rPr>
          <w:b/>
        </w:rPr>
        <w:t>E. 4.3.1</w:t>
      </w:r>
    </w:p>
    <w:p>
      <w:r>
        <w:t>Gemäss Art. 29 Abs. 1 BV liegt ein verpönter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132 I 249 E. 5). Ermessen kommt einer Behörde zu, wenn eine Rechtsnorm offen ist, wenn die Anordnung einer Massnahmen nicht zwingend vorgeschrieben ist oder wenn ein Rechtssatz einen Entscheidungsspielraum hinsichtlich der Wahl zwischen verschiedenen Massnahmen oder hinsichtlich deren Ausge­staltung einräumt. Typisches Beispiel für Normen, die Ermessen einräu­men, sind sog. Kann-Vorschriften. Das Ermessen ist pflichtgemäss aus­zuüben, d.h. der Entscheid hat rechtmässig und angemessen zu sein (Ul­rich Häfelin/Georg Müller/Felix Uhlmann, Allgemeines Verwaltungs­recht, 6. Aufl., Zürich/St. Gallen 2010, Rz. 429 ff., vgl. auch Urteil des Bun­desverwaltungsgerichts A-6154/2010 vom 21. Oktober 2011 E. 5.3).</w:t>
      </w:r>
    </w:p>
    <w:p>
      <w:r>
        <w:rPr>
          <w:b/>
        </w:rPr>
        <w:t>E. 4.3.2</w:t>
      </w:r>
    </w:p>
    <w:p>
      <w:r>
        <w:t>Aus den in Erwägung 4.1 genannten Regelungen ergibt sich eine Kon­trollverpflichtung der Vorinstanz hinsichtlich der Betriebshandbücher, wenn ein AOC angepasst wird (vgl. insb. EU-OPS 1.175 und 1.180). Die Vor­instanz legt überzeugend dar, weshalb die bisherigen Betriebshandbü­cher nicht einfach übernommen werden konnten, sondern an die neuen Ge­gebenheiten anzupassen waren, weil sich namentlich der Betrieb des Haw­ker deutlich von den andern, bereits bisher im AOC der Lions Air AG er­fassten Flugzeugen unterscheidet. Anlässlich einer Überprüfung ist es nahliegend, neben inhaltlichen Anmer­kungen auch solche zu machen, die eher redaktioneller Art sind und kei­ne unmittelbaren Auswirkungen auf die Sicherheit haben. Aus der Durch­sicht der Akten ergibt sich aber, dass überwiegend Konkretisierungs­wünsche und präzisere Formulierungsvorschläge angebracht wurden, die in­haltlich bedeutsam sind (vgl. z.B. Vernehmlassungsbeilage 11, Do­cument Evaluation Report, statt vieler OM-A Chapter 5 S. 1 [Komm. 1 zu feh­lenden Aussagen, Komm. 2 zur Struktur der Lions Air], S. 3 [Komm. 8 zu fehlender Übereinstimmung]; OM-A Chapter 8.2 S. 1 Komm. 2 [Spezifizierung von technical inspector]; siehe sodann auch die ein­gereichten Working Reports der Beschwerdeführerinnen [Vernehmlassungs­beilage 14]). Soweit diese vorbringen, sie listeten in ihrer Beilage 46 zahlreiche Änderung auf, die inhaltlich nebensächlich seien, ist ihnen nicht zu folgen: Die Liste zeigt auch verschiedene Stellen, wo z.B. fehler­haf­te Links zu korrigieren waren, Informationen fehlten oder unklar waren; von bloss redaktionellen Änderungen kann jedenfalls nicht die Rede sein. Selbst wenn hier und da eine etwas weniger eingehende Prüfung ebenfalls denkbar gewesen wäre, kann es nicht als überspitzt formalistisch be­zeich­net werden, sondern liegt im Ermessensbereich der Fachbehörde, unter Würdigung der konkreten Umstände eine einlässlichere Kontrolle durch­zuführen. Es fehlt deshalb an Hinweisen für eine übertriebene, forma­listische Prüfung der Betriebshandbücher durch die Vorinstanz.</w:t>
      </w:r>
    </w:p>
    <w:p>
      <w:r>
        <w:rPr>
          <w:b/>
        </w:rPr>
        <w:t>E. 4.3.3</w:t>
      </w:r>
    </w:p>
    <w:p>
      <w:r>
        <w:t>Bezüglich des Postholder-Assessments ist EU-OPS 1.175 Bst. i i.V.m. 1.003 Bst. a Nr. 1 massgebend, wonach der Luftfahrtunternehmer den behördlichen Anforderungen genügende Fachbereichsleiter, oder soge­nannte Postholder, ernennen muss. Das Bundesgericht entschied, diese Normen würden ein Assessment bzw. ein Gespräch der Behörde zur Prü­fung des Postholders nicht ausschliessen; es stehe im pflichtgemässen Ermessen der Aufsichtsbehörde, darüber zu befinden, unter welchen Be­dingungen ein Fachbereichsleiter seine Befähigung nachweise (Urteil des Bundesgerichts 2C_842/2010 vom 13. Januar 2012 E. 3.2 und 4.2 mit eingehenden Ausführungen). Da der Postholder Training im anzupassen­den AOC der Lions Air AG noch nicht erfasst war, hat die Vorinstanz we­der ihren Ermessensspielraum überschritten noch mit überspitztem For­malismus gehandelt, indem sie ein Assessment resp. ein Gespräch durch­führte, selbst wenn die betreffende Person der Vorinstanz aus ihrer frü­heren Tätigkeit bereits bekannt war.</w:t>
      </w:r>
    </w:p>
    <w:p>
      <w:r>
        <w:rPr>
          <w:b/>
        </w:rPr>
        <w:t>E. 4.3.4</w:t>
      </w:r>
    </w:p>
    <w:p>
      <w:r>
        <w:t>Für den Simulator ist mit dem sogenannten User Approval der Nach­weis zu erbringen, dass die Bedingungen im Simulator möglichst reali­tätsnah sind (EU-OPS 1.003 i.V.m. 1.005 Bst. d und Art. 2 Abs. 1 der Ver­ordnung über die JAR-FCL-Lizenzen zum Führen von Flugzeugen und Hubschraubern vom 14. April 1999 [VJAR-FCL, SR 748.22.2, SR 748.22.2] i.V.m. JAR-FCL 1.005 Ziff. 4). Zur erneuten Zulassung des Simu­lators führt die Vorinstanz aus, aufgrund von neuen Regelungen müssten neuerdings alle Betreiber einen sogenannten User Approval haben. Die­se Prüfung werde für jeden Operator durchgeführt; um eine Staffelung zu erreichen, werde immer dann eine Prüfung durchgeführt, wenn ein neu­es Flugzeug auf das AOC genommen werde. Deshalb sei die Änderung des AOC der passende Zeitpunkt für diese Prüfung (vgl. die Erklärung in Vernehmlassungsbeilage 15 S. 14). Diese Vorgehensweise gewährleistet eine rechtsgleiche Behandlung aller Un­ternehmen und erscheint auch inhaltlich nachvollziehbar; die Einforderung dieses Nachweises ist deshalb nicht zu beanstanden.</w:t>
      </w:r>
    </w:p>
    <w:p>
      <w:r>
        <w:rPr>
          <w:b/>
        </w:rPr>
        <w:t>E. 4.4</w:t>
      </w:r>
    </w:p>
    <w:p>
      <w:r>
        <w:t>Hinsichtlich der weiteren Beanstandungen - zu nennen sind insbeson­dere die Forderung nach einem Demonstrationsflug, nach einem For­mal Application Meeting, die geforderte Nachreichung des Trainingsnachweises, die Wahl des administrativen Vorgehens entsprechend dem 5-Phasen-Modell oder der Hinweis auf eine grosszügigere Praxis von Luft­fahrtbehörden anderer Länder - ist im Übrigen auf die hohen Anforderun­gen im Luftfahrtrecht und das Ermessen der Vorinstanz bei der Prüfung der Einhaltung dieser Vorschriften hinzuweisen. Demgegenüber begnü­gen sich die Beschwerdeführerinnen mit pauschalen Behauptungen und argumentieren zirkelschlüssig, wenn sie meinen, allein schon das Er­geb­nis impliziere ein missbräuchliches Verhalten durch die Vorinstanz. Es be­steht kein Anlass, von einer nicht pflichtgemässe Ausübung des Ermes­sens und/oder einem überspitzten Formalismus auszugehen. An dieser Stelle ist zudem darauf hinzuweisen, dass die Vorinstanz entge­gen den Vorbringen der Beschwerdeführerinnen von einer Änderung und nicht von einer Neuausstellung des AOC ausgegangen ist. Wäre sie näm­lich von einer Neuausstellung ausgegangen, hätte sie Art. 39 Abs. 1 Bst. a GebV-BAZL mit einer Maximalgebühr von Fr. 250'000.- angewendet.</w:t>
      </w:r>
    </w:p>
    <w:p>
      <w:r>
        <w:rPr>
          <w:b/>
        </w:rPr>
        <w:t>E. 4.5</w:t>
      </w:r>
    </w:p>
    <w:p>
      <w:r>
        <w:t>Als Zwischenfazit kann somit festgehalten werden, dass der Umfang der Prü­fung durch die Vorinstanz nicht zu beanstanden ist.</w:t>
      </w:r>
    </w:p>
    <w:p>
      <w:r>
        <w:rPr>
          <w:b/>
        </w:rPr>
        <w:t>E. 5</w:t>
      </w:r>
    </w:p>
    <w:p>
      <w:r>
        <w:t>Zu prüfen bleibt, ob die Höhe der auferlegten Gebühren gerechtfertigt ist.</w:t>
      </w:r>
    </w:p>
    <w:p>
      <w:r>
        <w:rPr>
          <w:b/>
        </w:rPr>
        <w:t>E. 5.1</w:t>
      </w:r>
    </w:p>
    <w:p>
      <w:r>
        <w:t>Die GebV-BAZL regelt die Gebühren für Verfügungen und Dienstleis­tun­gen, welche die Vorinstanz erlässt bzw. erbringt (Art. 1 GebV-BAZL). Art. 3 GebV-BAZL bestimmt, dass eine Gebühr zu bezahlen hat, wer eine Dienst­leistung der Vorinstanz beansprucht. Sofern nicht eine Pauschale fest­gelegt wird, richtet sich die Bemessung der Gebühr nach Zeitaufwand, gegebenenfalls innerhalb des festgelegten Gebührenrahmens (Art. 5 Abs. 1 GebV-BAZL). In den Artikeln 14 ff. GebV-BAZL sind sodann die Gebühren für Dienstleistungen, welche gestützt auf das LFG und die wei­teren Erlasse im Bereich des Luftfahrtrechts ergehen, speziell geregelt. Die in Art. 39 Abs. 1 Bst. b GebV-BAZL vorgesehene Minimalgebühr für die Änderung oder Erneuerung eines AOC beträgt Fr. 300.-, die Maxi­mal­gebühr Fr. 50'000.-, während der in Art. 42 Abs. 2 GebV-BAZL vorgese­hene Gebührenrahmen für die Bearbeitung eines Gesuchs um Erteilung einer Genehmigung eines Betriebshandbuchs oder einer Änderung des Handbuchs nach Zeitaufwand von Fr. 150.- bis Fr. 10'000.- reicht. Wie in Sachverhalt Bst. E zusammengefasst, entschied das Bundesgericht, dass anlässlich einer AOC-Anpassung höchstens Kosten im Umfang von Fr. 10'000.- für die Überprüfung der Betriebshandbücher auferlegt werden dürften (Art. 42 Abs. 2 GebV-BAZL), die restlichen Fr. 40'000.- bis zur Ausschöpfung des Gebührenmaximums von Fr. 50'000.- gemäss Art. 39 Abs. 1 Bst. b GebV-BAZL entfielen auf die üb­rigen Aufwendungen. Die Ausgangslage hier unterscheidet sich leicht von derjenigen im genannten Urteil des Bundesgerichts, da der Anlass für die Überprüfung ein anderer war. Dennoch ist diese Rechtsprechung auf den vorliegenden Fall anwendbar, da das Bundesgericht das System der Ge­bühren für Betriebsbewilligungen, AOC-Anpassungen und Prüfung der Be­triebshandbücher grundsätzlich und allgemein erläutert, nicht nur bezo­gen auf den spezifischen Fall, der zu beurteilen war. Soweit die Vorinstanz diese rechtliche Beurteilung der GebV-BAZL nicht teilt, und diese den tatsächlichen Aufwendungen nicht gerecht wird, steht es ihr frei, eine Än­derung der GebV-BAZL zu veranlassen.</w:t>
      </w:r>
    </w:p>
    <w:p>
      <w:r>
        <w:rPr>
          <w:b/>
        </w:rPr>
        <w:t>E. 5.2</w:t>
      </w:r>
    </w:p>
    <w:p>
      <w:r>
        <w:t>Die auferlegten Kosten wurden im Rahmen der von den Beschwerde­füherinnen veranlassten Anpassung des AOC erhoben. Es handelt sich so­mit um eine zu den Kausalabgaben gehörende Verwaltungsgebühr (vgl. Adrian Hungerbühler, Grundsätze des Kausalabgaberechts, Eine Über­sicht über die neuere Rechtsprechung und Doktrin, Schweizerisches Zen­tralblatt für Staats- und Verwaltungsrecht ZBl 10/2003 S. 505 ff., S. 509). Diese sind das Entgelt für eine bestimmte, von der abgabepflichti­gen Person veranlasste Amtshandlung oder für die Benutzung einer öffent­lichen Einrichtung. Sie sollen die Kosten, welche dem Gemeinwesen durch die Amtshandlung oder die Benutzung der Einrichtung entstanden sind, ganz oder teilweise decken (zum Ganzen Häfelin/Müller/Uhl­mann, a.a.O., Rz. 2623 ff.; vgl. aus der Rechtsprechung BGE 128 II 247 E. 3.1; BGE 93 I 632 E. 3, Urteil des Bundesver­waltungsgerichts A-4523/2009 vom 7. Januar 2010 E. 4). 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die Überprüfung der Gebühr auf ihre Rechtmässigkeit anhand von verfassungsrechtlichen Prin­zipien, insbesondere des Kostendeckungs- und des Äquivalenzprinzips, ohne weiteres möglich ist (BGE 134 I 179 E. 6.1 und 130 I 113 E. 2.2; Hungerbühler, a.a.O., S. 514 ff.). Nach dem Kostendeckungsprinzip sollen die Gesamterträge die Gesamt­kos­ten des betreffenden Verwaltungszweigs nicht oder nur geringfügig über­steigen, was eine gewisse Schematisierung oder Pauschalisierung der Abgabe nicht ausschliesst (BGE 132 II 371 E. 2.1, BGE 126 I 180 E. 3a/aa). Das Kostendeckungsprinzip greift nur bei kostenabhängigen Kau­salabgaben (vgl. Hungerbühler, a.a.O., S. 521). Das Äquivalenz­prin­zip verlangt nach der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371 E. 2.1). Das Kostendeckungs- und das Äquivalenzprinzip vermögen die Höhe bestimm­ter Kausalabgaben ausreichend zu begrenzen, so dass der Gesetz­ge­ber deren Bemessung (nicht aber den Kreis der Abgabepflichtigen und den Gegenstand der Abgabe) der Exekutive überlassen darf (BGE 134 I 179 E. 6.1, BGE 132 II 371 E. 2.1, BGE 131 II 735 E. 3.2; Hungerbühler, a.a.O., S. 516).</w:t>
      </w:r>
    </w:p>
    <w:p>
      <w:r>
        <w:rPr>
          <w:b/>
        </w:rPr>
        <w:t>E. 5.3</w:t>
      </w:r>
    </w:p>
    <w:p>
      <w:r>
        <w:t>Wie das Bundesverwaltungsgericht bereits wiederholt festgehalten hat, findet die GebV-BAZL eine hinreichende gesetzliche Grundlage in Art. 3 Abs. 3 LFG (Urteile des Bundesverwaltungsgerichts A-6337/2010 vom 13. September 2011 E. 5.3, A-4523/2009 vom 7. Januar 2010 E. 5 mit Hinweisen auf weitere Urteile). Weiter hat es entschieden, die Summe al­ler Gebühren würde den Gesamtaufwand der Vorinstanz nicht annähernd zu decken vermögen, weshalb das Kostenddeckungsprinzip keine Aus­sagen zur Bemessung der Gebühren im Einzelfall erlaube (Urteile des Bundesverwaltungsgerichts A-4523/2009 vom 7. Januar 2010 E. 5 mit Hinweisen auf weitere Urteile). Es hat sodann festgehalten, der Stunden­ansatz von Fr. 180.- für einen Inspektor, der die Anpassung eines AOC prüft, sei nicht zu beanstanden (Urteil des Bundesverwaltungsgerichts A-4523/2009 vom 7. Januar 2010 E. 6.2 mit Hinweisen auf weitere Ur­teile). Gründe, um vorliegend von dieser Beurteilung abzuweichen, sind kei­ne ersichtlich und werden von den Beschwerdeführerinnen auch nicht vor­gebracht. Insbesondere bestreiten diese nicht, dass die verrechneten Stun­den für die effektiv durchgeführte Prüfung aufgewendet wurden. Die Vor­instanz hat überdies den Prüfungsumfang nicht in unzulässiger Weise aus­gedehnt (vgl. E. 4 hiervor).</w:t>
      </w:r>
    </w:p>
    <w:p>
      <w:r>
        <w:rPr>
          <w:b/>
        </w:rPr>
        <w:t>E. 5.4</w:t>
      </w:r>
    </w:p>
    <w:p>
      <w:r>
        <w:t>Zu prüfen ist sodann, ob eine Reduktion der Gebühr gestützt auf Art. 5 Abs. 3 GebV-BAZL vorzunehmen wäre. Demnach kann im Einzelfall un­ter Berücksichtigung des Interesses und des Nutzens der gebührenpflich­tigen Person sowie des öffentlichen Interesses eine Gebühr ermässigt oder erlassen werden. Die Beschwerdeführerinnen argumentieren, eine Reduktion oder ein Erlass sei gerechtfertigt, da durch das Grounding des Hawker ein hoher Schaden entstanden sei und die Anpassung des AOC für die Beschwerdeführerinnen aufgrund des grossen Aufwands hohe Kosten verursacht habe. Zwar kann davon ausgegangen werden, dass der Aufwand auch für die Be­schwerdeführerinnen hoch war. Da aber der Umfang der Überprüfung nicht zu beanstanden ist (vgl. E. 4), rechtfertigt weder dies noch der durch das Grounding entstandene Schaden eine Gebührenreduktion. Ein öffentli­ches Interesse an einem Gebührenerlass oder an einer -reduktion ist nicht ersichtlich.</w:t>
      </w:r>
    </w:p>
    <w:p>
      <w:r>
        <w:rPr>
          <w:b/>
        </w:rPr>
        <w:t>E. 5.5</w:t>
      </w:r>
    </w:p>
    <w:p>
      <w:r>
        <w:t>Die von der Vorinstanz erhobene Gebühr von Fr. 50'000.- übersteigt den maximal zulässigen Gebührenrahmen, da sie unbestrittenermassen die Obergrenze von Fr. 10'000.- für den Anteil der Prüfung der Betriebshand­bücher nicht einhält. Dies ist aber gemäss Art. 42 Abs. 2 GebV-BAZL er­forderlich (vgl. Sachverhalt Bst. E und E. 5.1). Die Gebührenverfügung ist deshalb soweit zu reduzieren, bis diese Obergrenze eingehalten wird. An­gesichts der komplexen, vom sachlichen Aufwand her angemessenen Über­prüfung der Betriebshandbücher (vgl. E. 4) ist es aber gerechtfertigt, die­sen Anteil von Fr. 10'000.- voll auszuschöpfen. Zu untersuchen bleibt allerdings, ob die Rechnung Nr. 798373154 vom 3. Mai 2011 in der Höhe von Fr. 405.- (Prüfung der MEL) an den Gebühren­rahmen von Fr. 10'000.- angerechnet werden muss. Es ist unumstritten, dass diese Rechnung im Rahmen der AOC-Anpassung erging, jedoch nicht klar, ob sie der Prüfung der Betriebshandbücher zuzurechnen ist. Der EU-OPS ist zu entnehmen, dass das Betriebshandbuch OM-B in Ka­pitel 9 folgenden Inhalt haben muss: "Die Mindestausrüstungsliste (MEL) für die eingesetzten Flugzeugmuster und Baureihen unter Berücksich­tigung der Betriebsarten und der Einsatzgebiete. Die Mindestausrüs­tungs­liste muss die Navigationsausrüstung einschließen und die Leistungs­anforderungen für die Strecke und das Einsatzgebiet berücksichti­gen" (Anlage 1 zu OPS 1.1045, für die Begriffsumschreibung der MEL EU-OPS 1.003 Bst. a Ziff. 4 und für die Pflicht zur Erstellung einer MEL EU-OPS 1.030). Die Vorinstanz äussert sich nicht dazu, ob sie im Rahmen der Betriebshandbuchprüfung oder als übriger Aufwand zu prüfen war. Die Beschwerdeführerinnen legen dar, die MEL sei Bestandteil des Be­triebshandbuchs OM-B Kapitel 9; in der von der Vorinstanz eingereichten definitiven elektronischen Version des OM-B trifft dies zu. Auf diese Sicht­weise lässt auch ein auf der Homepage der Vorinstanz publiziertes Do­kument schliessen, in dem sie ausführt: "The MEL is part of OM B (chap­ter 9), however it may be compiled as a stand-alone document to which OM B is making reference." (vgl. www.bazl.admin.ch, Bereich "für Fach­leute", Formularsammlung unter "MEL - Minimum Equipment List", S. 2 dieses Dokuments, besucht am 19. Mai 2012). Diese Kostenverfügung wird deshalb vom maximalen Gebührenrahmen von Fr. 10'000.- erfasst, weshalb davon Fr. 405.- abzuziehen sind und für den Anteil der Betriebs­handbücherprüfung nur Fr. 9'595.- auferlegt werden dürfen. Für die übrigen Aufwendungen, für die eine maximale Gebührenhöhe von Fr. 40'000.- verbleibt, geht aus den Eingaben der Vorinstanz hervor, dass die ausgewiesenen Kosten mit Fr. 11'829.- beziffert werden. Der maximale Kostenrahmen wurde somit noch nicht ausgeschöpft und die Auferlegung dieser Kosten ist zulässig. Die Rechnung Nr. 798373081 vom 29. Ap­ril 2011 (Halterwechsel) und die Rechnung Nr. 798376350 vom 10. Ju­ni 2011 (Postholder Assessment), die zu den übrigen Aufwendungen gehören und nicht im Rahmen der Betriebshandbücherprüfung ergin­gen, müssen nicht berücksichtigt und nicht von dieser Summe abgezogen wer­den, da auch mit den darin enthaltenen Gebühren der maximale Anteil für die übrigen Aufwendungen von Fr. 40'000.- nicht überschritten wird. Zusammenfassend kann festgehalten werden, dass für den Anteil der Betriebs­handbücherprüfung der Betrag von Fr. 9'595.- und für den Anteil der üb­rigen Aufwendungen der Betrag von Fr. 11'829.- gerechtfertigt ist. Der Be­trag der Kostenverfügung ist entsprechend auf den Totalbetrag von Fr. 21'424.- zu kürzen.</w:t>
      </w:r>
    </w:p>
    <w:p>
      <w:r>
        <w:rPr>
          <w:b/>
        </w:rPr>
        <w:t>E. 6</w:t>
      </w:r>
    </w:p>
    <w:p>
      <w:r>
        <w:t>Zusammenfassend steht damit fest, dass die Vorinstanz die Anpassung des AOC nach pflichtgemässem Ermessen geprüft und hierbei weder das Rechts­gleichheitsgebot verletzt noch die Überprüfung übermässig ausge­dehnt oder mit überspitztem Formalismus behandelt hat. Jedoch ist die Ge­bührenverfügung auf Fr. 21'424.- zu reduzieren. Ein Gebührenerlass ge­mäss Art. 5 Abs. 3 GebV-BAZL ist nicht gerechtfertigt. Angesichts dessen, dass die Beschwerdeführerinnen einen gänzlichen Erlass bzw. eine (zu) erhebliche Reduktion, mithin unter Fr. 5'000.- (vgl. Sachverhalt H) der Gebührenverfügung fordern, ist ihre Beschwerde lediglich teilweise gut­zuheissen, soweit darauf einzutreten ist.</w:t>
      </w:r>
    </w:p>
    <w:p>
      <w:r>
        <w:rPr>
          <w:b/>
        </w:rPr>
        <w:t>E. 7</w:t>
      </w:r>
    </w:p>
    <w:p>
      <w:r>
        <w:t>Vorliegend hat die Vorinstanz trotz Unterliegen keine Verfahrenskosten zu tra­gen (Art. 63 Abs. 2 VwVG). Den teilweise obsiegenden Beschwerdefüh­rerinnen sind Verfahrenskosten in der Höhe von Fr. 1'000.- aufzuerlegen. Diese werden nach Eintritt der Rechtskraft des vorliegenden Urteils mit dem geleisteten Kostenvorschuss von Fr. 3'000.- verrechnet. Im Umfang von Fr. 2'000.- wird der Kostenvorschuss nach Eintritt der Rechtskraft des vorliegenden Urteils zurückerstattet. Gemäss Art. 64 Abs. 1 VwVG kann einer teilweise obsiegenden Partei von Amtes wegen oder auf Begehren für ihr erwachsene notwendige und ver­hältnismässig hohe Kosten eine Parteientschädigung zugesprochen wer­den. Die anwaltlich vertretenen Beschwerdeführerinnen reichten keine Kos­tennote ein. Die Parteientschädigung wird somit aufgrund der Akten fest­gesetzt (Art. 14 Abs. 2 VGKE, SR 173.320.2). Angesichts der sehr aus­führlichen Rechtsschriften, die aber auch weitschweifige Ausführungen ohne direkten Zusammenhang zum Verfahrensgegenstand enthalten, wird die (reduzierte) Parteientschädigung auf Fr. 3'500.-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