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A-5098/2016 vom 4. Juli 2017</w:t>
      </w:r>
    </w:p>
    <w:p>
      <w:r>
        <w:t>Bundesverwaltungsgericht, 2017-07-04, DE</w:t>
      </w:r>
    </w:p>
    <w:p>
      <w:r>
        <w:rPr>
          <w:b/>
        </w:rPr>
        <w:t xml:space="preserve">Quelle: </w:t>
      </w:r>
      <w:r>
        <w:t>https://mcp.opencaselaw.ch/entscheid/bvger_A-5098_2016</w:t>
      </w:r>
    </w:p>
    <w:p>
      <w:r>
        <w:t>FR: TAF A-5098/2016 du 4 juillet 2017</w:t>
      </w:r>
    </w:p>
    <w:p>
      <w:r>
        <w:t>IT: TAF A-5098/2016 del 4 luglio 2017</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20. Juli 2016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Die Beschwerdeführerin ist zur Erhebung der vorliegenden Beschwerde berechtigt (Art. 48 Abs. 1 VwVG). Auf die im Übrigen frist- und formgerecht eingereichte Beschwerde (Art. 50 Abs. 1 und Art. 52 Abs. 1 VwVG) ist demnach einzutreten.</w:t>
      </w:r>
    </w:p>
    <w:p>
      <w:r>
        <w:rPr>
          <w:b/>
        </w:rPr>
        <w:t>E. 1.3.1</w:t>
      </w:r>
    </w:p>
    <w:p>
      <w:r>
        <w:t>Am 1. Januar 2010 ist das (neue) Mehrwertsteuergesetz (MWSTG, SR 641.20) in Kraft getreten. In materieller Hinsicht bleiben die bisherigen Vorschriften auf alle während ihrer Geltungsdauer eingetretenen Tatsachen, entstandenen Rechtsverhältnisse und erbrachten Leistungen anwendbar (Art. 112 Abs. 1 und 2 MWSTG). Der vorliegend zu beurteilende Sachverhalt hat sich in den Jahren 2003 bis 2008 zugetragen, also vor dem Inkrafttreten des MWSTG. Er untersteht damit in materieller Hinsicht dem am 1. Januar 2001 in Kraft getretenen (und bis Ende 2009 in Kraft stehenden) Bundesgesetz vom 2. September 1999 über die Mehrwertsteuer (aMWSTG, AS 2000 1300) sowie der dazugehörigen aMWSTGV.</w:t>
      </w:r>
    </w:p>
    <w:p>
      <w:r>
        <w:rPr>
          <w:b/>
        </w:rPr>
        <w:t>E. 1.3.2</w:t>
      </w:r>
    </w:p>
    <w:p>
      <w:r>
        <w:t>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w:t>
      </w:r>
    </w:p>
    <w:p>
      <w:r>
        <w:t>Ein Verstoss gegen das in Art. 8 BV verankerte Gebot der rechtsgleichen Behandlung liegt dann vor, wenn die Behörde bei vergleichbaren Sachverhalten das Recht ungleich anwendet und dafür keine sachlichen Gründe vorliegen (Rainer J. Schweizer, in: Ehrenzeller/Mastronardi/Schweizer/Vallender [Hrsg.], Die Schweizerische Bundesverfassung - Kommentar, 3. Aufl. 2014, [nachfolgend: BV-Kommentar], Art. 8 Rz. 18 ff.). Dies ist nach der bundesgerichtlichen Rechtsprechung insbesondere auch dann der Fall, wenn Unterscheidungen nicht getroffen werden, die sich aufgrund der Verhältnisse aufdrängen oder wenn zwei gleiche tatsächliche Situationen ohne sachlichen Grund unterschiedlich behandelt werden (BGE 129 I 1 E. 3, BGE 125 I 166 E. 2a, BGE 125 II 326 E. 10b; Urteil des BVGer A-3112/2015 vom 22. Oktober 2015 E. 2.1).</w:t>
      </w:r>
    </w:p>
    <w:p>
      <w:r>
        <w:rPr>
          <w:b/>
        </w:rPr>
        <w:t>E. 2.2</w:t>
      </w:r>
    </w:p>
    <w:p>
      <w:r>
        <w:t>Der Grundsatz der sog. Gleichbehandlung der Gewerbegenossen gemäss Art. 27 BV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(BGE 130 I 26 E. 6.3.3.1 und BGE 125 I 431 E. 4b/aa). So gesehen ergänzt Art. 27 BV das allgemeine Gleichbehandlungsgebot gemäss Art. 8 BV und bietet einen darüber hinausgehenden Schutz (BGE 121 I 129 E. 3d; Klaus A. Vallender, BV-Kommentar, Art. 27 Rz. 31).</w:t>
      </w:r>
    </w:p>
    <w:p>
      <w:r>
        <w:rPr>
          <w:b/>
        </w:rPr>
        <w:t>E. 3.1.1</w:t>
      </w:r>
    </w:p>
    <w:p>
      <w:r>
        <w:t>Der Mehrwertsteuer unterliegen die im Inland gegen Entgelt erbrachten Lieferungen von Gegenständen und Dienstleistungen (Art. 5 Bst. a und b aMWSTG). Sie sind steuerbar, soweit das Gesetz keine Ausnahme vorsieht (Art. 18 f.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3.1.2</w:t>
      </w:r>
    </w:p>
    <w:p>
      <w:r>
        <w:t>Damit überhaupt eine steuerbare Leistung vorliegt, muss sie im Austausch mit einem Entgelt erfolgen (sog. "Leistungsverhältnis"; vgl. hierzu ausführlich: Urteil des BVGer A-544/2013 vom 30. Oktober 2013 E. 2.1.2).</w:t>
      </w:r>
    </w:p>
    <w:p>
      <w:r>
        <w:rPr>
          <w:b/>
        </w:rPr>
        <w:t>E. 3.1.3</w:t>
      </w:r>
    </w:p>
    <w:p>
      <w:r>
        <w:t>Die Annahme eines Leistungsverhältnisses setzt voraus, dass zwischen Leistung und Entgelt eine innere wirtschaftliche Verknüpfung gegeben ist (BGE 138 II 239 E. 3.2, BGE 132 II 353 E. 4.1, BGE 126 II 443 E. 6a, mit weiteren Hinweisen).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Urteile des BGer 2A.304/2003 vom 14. November 2003 E. 3.6.1 und 2C_487/2011 vom 13. Februar 2013 E. 2.8). 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(ausführlich: Urteil des BVGer A-544/2013 vom 30. Oktober 2013 E. 2.1.4).</w:t>
      </w:r>
    </w:p>
    <w:p>
      <w:r>
        <w:rPr>
          <w:b/>
        </w:rPr>
        <w:t>E. 3.1.4</w:t>
      </w:r>
    </w:p>
    <w:p>
      <w:r>
        <w:t>Im Rahmen der Beurteilung, ob ein Leistungsverhältnis vorliegt, ist zu prüfen, wer als Leistungserbringer und wer als Leistungsempfänger zu gelten hat (vgl. Urteil des BGer 2A.215/2003 vom 20. Januar 2005 E. 6.4 f.; Urteil des BVGer A-5279/2011 vom 1. März 2013 E. 2.1.1, mit weiteren Hinweisen). Wer als Leistungserbringer zu gelten hat, bestimmt sich nach konstanter Rechtsprechung nach dem Aussenauftritt. Das mehrwertsteuerlich relevante Handeln wird demgemäss grundsätzlich demjenigen zugeordnet, der gegenüber Dritten im eigenen Namen auftritt (vgl. statt vieler: Urteil des BVGer A-544/2013 vom 30. Oktober 2013 E. 2.1.5.1).</w:t>
      </w:r>
    </w:p>
    <w:p>
      <w:r>
        <w:rPr>
          <w:b/>
        </w:rPr>
        <w:t>E. 3.2.1</w:t>
      </w:r>
    </w:p>
    <w:p>
      <w:r>
        <w:t>Die in Art. 18 aMWSTG aufgeführten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18 aMWSTG genannten Steuerausnahmen davon ausgegangen, dass diese "eher restriktiv" bzw. zumindest nicht extensiv zu handhaben sind (BGE 124 II 372 E. 6a, BGE 124 II 193 E. 5e; Urteil des BGer 2A.305/2002 vom 6. Januar 2003 E. 3.2; Urteil des BVGer A-2999/2007 vom 12. Februar 2010 E. 2.4). Primär sind die Ausnahmebestimmungen nach Art. 18 aMWSTG (wie andere Rechtsnormen auch) aber weder extensiv noch restriktiv, sondern nach ihrem Sinn und Zweck "richtig" auszulegen (statt vieler: BGE 140 II 495 E. 2.3.4 und BGE 138 II 251 E. 2.3.3; Urteil des BVGer A-3112/2015 vom 22. Oktober 2015 E. 3.3.1; Michael Beusch, in: Zweifel/Beusch/Glauser/Robinson [Hrsg.], Kommentar zum Schweizerischen Steuerrecht, Bundesgesetz über die Mehrwertsteuer, 2015 [nachfolgend: MWSTG-Kommentar], Auslegung Rz. 27 f.; zum Ganzen: Urteil des BVGer A-2464/2015 vom 11. November 2015 E. 2.3.1).</w:t>
      </w:r>
    </w:p>
    <w:p>
      <w:r>
        <w:rPr>
          <w:b/>
        </w:rPr>
        <w:t>E. 3.2.2.1</w:t>
      </w:r>
    </w:p>
    <w:p>
      <w:r>
        <w:t>Im Gesundheitsbereich von der Steuer ausgenommen sind - soweit hier von Interesse - insbesondere die von Physiotherapeuten und Physiotherapeutinnen erbrachten Heilbehandlungen im Bereich der Humanmedizin (objektive Voraussetzung), soweit die Leistungserbringer und Leistungserbringerinnen über eine Berufsausübungsbewilligung verfügen (subjektive Voraussetzung). Der Bundesrat bestimmt die Einzelheiten (vgl. Art. 18 Ziff. 3 aMWSTG; Urteile des BVGer A-2464/2015 vom 11. November 2015 E. 2.3.2 und A-310/2009 vom 7. Mai 2010 E. 3.1.1).</w:t>
      </w:r>
    </w:p>
    <w:p>
      <w:r>
        <w:rPr>
          <w:b/>
        </w:rPr>
        <w:t>E. 3.2.2.2</w:t>
      </w:r>
    </w:p>
    <w:p>
      <w:r>
        <w:t>Ambulante Behandlungszentren, welche lediglich ambulant Heilbehandlungen durchführen und keine Patienten hospitalisieren bzw. beherbergen, fallen unter Art. 18 Ziff. 3 aMWSTG (Urteile des BVGer A-310/2009 vom 7. Mai 2010 E. 3.1.2 und A-2999/2007 vom 12. Februar 2010 E. 3.2). Nach der (damaligen) Verwaltungspraxis gelten ambulante Behandlungszentren als Leistungserbringer für Heilbehandlungen, deren Leiter oder Leiterin im Sinne der Mehrwertsteuer als Leistungserbringer/in für Heilbehandlungen nach Ziff. 2 aBB Nr. 20 gilt; oder bei denen alle im Zentrum Behandlungen ausführenden Teilhaber einer juristischen Person oder Personengesellschaften im Sinne der Mehrwertsteuer als Leistungserbringer für Heilbehandlungen nach Ziff. 2 aBB Nr. 20 gelten, und die eine kantonale Institutsbewilligung, soweit eine solche nach kantonalem Recht erforderlich ist, vorweisen können (aBB Nr. 20, Ziff. 5.1.2 bzw. BB Nr. 20, Ziff. 5.1). Unter Aufsicht der Leitung durch Angestellte durchgeführte und im Namen des Behandlungszentrums fakturierte Heilbehandlungen, welche der Behandlung von Krankheiten, Verletzungen und anderen Störungen der körperlichen und seelischen Gesundheit dienen, sind von der Steuer ausgenommen (aBB Nr. 20, Ziff. 5.2.1 bzw. BB Nr. 20, Ziff. 5.2).</w:t>
      </w:r>
    </w:p>
    <w:p>
      <w:r>
        <w:rPr>
          <w:b/>
        </w:rPr>
        <w:t>E. 3.2.2.3</w:t>
      </w:r>
    </w:p>
    <w:p>
      <w:r>
        <w:t>Gemäss bundesrätlicher Verordnung gelten als Heilbehandlungen die Feststellung und Behandlung von Krankheiten, Verletzungen und anderen Störungen der körperlichen und seelischen Gesundheit des Menschen sowie Tätigkeiten, die der Vorbeugung von Krankheiten und Gesundheitsstörungen des Menschen dienen (Art. 2 Abs. 1 aMWSTGV). Die Diagnostik ist - neben der Tatsache der Behandlung - das charakteristische Merkmal der ärztlichen Behandlung. Hierbei muss der Arzt in der Lage sein, eine Diagnose zu stellen, da eine "Medizin", die nicht auf einer solchen basiert, im Allgemeinen nicht als zum medizinischen Bereich zugehörig betrachtet werden kann. Nicht als ärztliche Heilbehandlungen gelten solche, die ausschliesslich die Hebung des Wohlbefindens ("Wellness") anstreben und die nicht zu therapeutischen Zwecken durchgeführt werden. Hauptziel ist dabei nicht die Heilung des Patienten, sondern vielmehr der Erhalt oder die Verbesserung seines körperlichen/seelischen Wohlbefindens. Trotz der gegebenen Definition der ärztlichen Heilbehandlung sind Leistungen der Präventivmedizin grundsätzlich steuerbar, zumindest wenn sie nicht im Rahmen einer ärztlichen Behandlung erbracht werden (Art. 2 Abs. 3 Bst. a aMWSTGV; Isabelle Homberger Gut, in: mwst.com, Kommentar zum Bundesgesetz über die Mehrwertsteuer, 2000 [nachfolgend: mwst.com], Art. 18 MWSTG Rz. 4 ff.; vgl. auch: Anne Tissot Benedetto, MWSTG-Kommentar, Art. 21 Rz. 34). Zudem zählen Untersuchungen, Beratungen und Behandlungen, die lediglich der Hebung der Leistungsfähigkeit ("Fitness") dienen, grundsätzlich nicht als Heilbehandlung (Art. 2 Abs. 3 Bst. a aMWSTGV; vgl. zum insoweit gleich lautenden "neuen Recht": Urteil des BGer 2C_1076/2015 vom 9. Dezember 2016 E. 4.3.2). Die in einem Fitnesscenter durchgeführten Aktivitäten gelten gemäss höchstrichterlicher Rechtsprechung nicht als steuerausgenommene Heilbehandlung, auch wenn sie einen positiven Einfluss auf den Gesundheitszustand der praktizierenden Personen - so etwa in Form einer Verbesserung der Muskulatur, des Herz-Kreislauf-Systems oder einer Senkung des Übergewichts - haben (Urteile des BGer 2C_642/2008 vom 12. Dezember 2008 E. 3.1 ). Überdies hielt das Bundesgericht im Zusammenhang mit Umsätzen, die aufgrund des Zurverfügungstellens von Fitnessgeräten, Sauna- oder Solariumseinrichtungen oder für Betätigungen in den Bereichen Aerobic, Gymnastik oder Spinning - oder Kursen in diesem Zusammenhang stehen - fest, dass diese insgesamt der Verbesserung des persönlichen und körperlichen Wohlbefindens der betroffenen Person und nicht der Aus- und Weiterbildung oder dem Erwerb von Fertigkeiten dienen. Unter einer Ausbildungsleistung im Sinne von Art. 18 Ziff. 11 aMWSTG seien nämlich alle Tätigkeiten zu verstehen, die eng mit einer erzieherischen oder bildenden Zielsetzung zusammenhängen bzw. die vor allem dazu dienen, Wissen zu vermitteln oder zu vertiefen, oder die zumindest dem Erwerb von Kenntnissen oder Fertigkeiten dienen (Urteile des BGer 2A.756/2006 vom 22. Oktober 2007 E. 3.1.2 und 2A.485/2004 vom 18. Mai 2005 E. 7.2). Laut Art. 3 Abs. 1 aMWSTGV sind Heilbehandlungen ausserdem nur dann von der Besteuerung ausgenommen, wenn der Leistungserbringer im Besitz der nach kantonalem Recht erforderlichen Bewilligung zur selbstständigen Berufsausübung ist oder wenn er zur Ausübung der Heilbehandlung nach der kantonalen Gesetzgebung zugelassen ist. Gemäss (damaliger) Verwaltungspraxis zählen physiotherapeutische Leistungen, die in einem Fitnessstudio oder in einem sonstigen Gesundheitszentrum im Rahmen eines Eintrittspreises oder eines Abonnements in Anspruch genommen werden können, als steuerbare Leistungen (aBB Nr. 20, Ziff. 2.6.3 und BB Nr. 20, Ziff. 2.6.2).</w:t>
      </w:r>
    </w:p>
    <w:p>
      <w:r>
        <w:rPr>
          <w:b/>
        </w:rPr>
        <w:t>E. 3.2.2.4</w:t>
      </w:r>
    </w:p>
    <w:p>
      <w:r>
        <w:t>Nach konstanter Rechtsprechung folgt aus dem Begriff der Heilbehandlung (objektive Voraussetzung), dass nur die direkt am Patienten oder der Patientin vorgenommenen Behandlungen von der Steuer ausgenommen sind (statt vieler: BGE 124 II 193 E. 7a.aa; Urteil des BVGer A-2464/2015 vom 11. November 2015 E. 2.3.2, mit weiteren Hinweisen). Keine Heilbehandlungen in diesem Sinn stellen etwa Dienstleistungen eines medizinischen Call Centers oder einer Telefonzentrale für medizinische Notfälle (Notfallnummern) dar (Urteile des BVGer A-3395/2007 vom 24. Februar 2009 E. 3 und A-1204/2012 vom 14. Februar 2013 E. 4.4.1).</w:t>
      </w:r>
    </w:p>
    <w:p>
      <w:r>
        <w:rPr>
          <w:b/>
        </w:rPr>
        <w:t>E. 3.2.3</w:t>
      </w:r>
    </w:p>
    <w:p>
      <w:r>
        <w:t>Die im aMWSTG aufgeführten sog. unechten Steuerbefreiungen gelten nach ständiger Rechtsprechung grundsätzlich, d.h. unter Vorbehalt einer abweichenden gesetzlichen Regelung, nur für diejenigen Leistungen, die direkt an die Endverbraucher erbracht werden. Steuerausnahmen nach Art. 18 aMWSTG sind also grundsätzlich auf die Stufe des Endverbrauchs beschränkt. Entsprechend sind die Geschäfte, welche der Steuerbefreiung vorausgehen, die sog. "Vorumsätze", nicht unecht steuerbefreit (zur "Vorumsatztheorie": BGE 124 II 193 E. 5e und E. 7; ausführlich: Urteil des BVGer A-1470/2006 vom 5. Februar 2009 E. 3.4.2).</w:t>
      </w:r>
    </w:p>
    <w:p>
      <w:r>
        <w:rPr>
          <w:b/>
        </w:rPr>
        <w:t>E. 3.3.1</w:t>
      </w:r>
    </w:p>
    <w:p>
      <w:r>
        <w:t>Mehrwertsteuerpflichtig ist, wer eine mit der Erzielung von Einnahmen verbundene gewerbliche oder berufliche Tätigkeit selbstständig ausübt, auch wenn dabei die Gewinnabsicht fehlt,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Von der Steuerpflicht ausgenommen sind gemäss Art. 25 Abs. 1 Bst. d aMWSTG nichtgewinnstrebige, ehrenamtlich geführte Sportvereine und gemeinnützige Institutionen, beide mit einem Jahresumsatz gemäss Art. 21 Abs. 3 aMWSTG bis zu Fr. 150'000.--.</w:t>
      </w:r>
    </w:p>
    <w:p>
      <w:r>
        <w:rPr>
          <w:b/>
        </w:rPr>
        <w:t>E. 3.3.2</w:t>
      </w:r>
    </w:p>
    <w:p>
      <w:r>
        <w:t>Wird den aus dem Selbstveranlagungsprinzip (Art. 46 aMWSTG) fliessenden Mitwirkungspflichten nicht nachgekommen, so trägt die ESTV die betreffende Person rückwirkend in das Register der Steuerpflichtigen ein. Die rückwirkende Eintragung erfolgt auf das Datum hin, an welchem die Voraussetzungen für die Steuerpflicht erfüllt waren (Pascal Mollard et al., Traité TVA, Basel 2009, S. 451 Rz. 120, unter Verweis auf das Urteil des BGer 2A.591/2003 vom 11. Juni 2004 E. 4.1 und Urteil des BVGer A-1513/2006 vom 24. April 2009; zum Ganzen: Urteil des BVGer A-310/2009 vom 7. Mai 2010 E. 2.2.).</w:t>
      </w:r>
    </w:p>
    <w:p>
      <w:r>
        <w:rPr>
          <w:b/>
        </w:rPr>
        <w:t>E. 4</w:t>
      </w:r>
    </w:p>
    <w:p>
      <w:r>
        <w:t>Die Beschwerdeführerin bietet u.a. Kurse wie "Aquacura Wassergymnastik", "Active Backademy" und "Osteoporosegymnastik" an. Zu Recht unbestritten ist (mittlerweile), dass sie dabei aus mehrwertsteuerlicher Sicht für sämtliche Kurse als Leistungserbringerin gilt (vgl. E. 3.1.4), weshalb - in Übereinstimmung mit der Vorinstanz - von vornherein die Regeln über eine Weiterfakturierung von Heilbehandlungen nicht in Betracht zu ziehen sind. Nicht im Streit liegt ferner die Anwendung des Saldosteuersatzes von 6 % zur Berechnung der allfällig geschuldeten Mehrwertsteuer. Im Folgenden ist strittig und muss überprüft werden, ob die - wie von der Beschwerdeführerin gerügt - von ihr angebotenen Kurse allenfalls als Heilbehandlung i.S.v. Art. 18 Ziff. 3 aMWSTG (E. 4.1) oder gar als Bildungsleistung gemäss Art. 18 Ziff. 11 aMWSTG (in der Fassung: AS 2002 1480, E. 4.2) von der Besteuerung ausgenommen sind. Schliesslich ist auf die Rüge der Beschwerdeführerin einzugehen, die ESTV habe gegen das Gebot der rechtsgleichen Behandlung verstossen und die Wirtschaftsfreiheit verletzt (E. 4.3).</w:t>
      </w:r>
    </w:p>
    <w:p>
      <w:r>
        <w:rPr>
          <w:b/>
        </w:rPr>
        <w:t>E. 4.1.1</w:t>
      </w:r>
    </w:p>
    <w:p>
      <w:r>
        <w:t>Die Beschwerdeführerin moniert, der Vergleich der Vorinstanz mit Fitness- und Gesundheitszentren sei mehr als abwegig. Es gehe bei ihr nicht um die Hebung des persönlichen und körperlichen Wohlbefindens - wie bei den in Fitness- und Gesundheitszentren von den Kunden bezogenen Leistungen der Paramedizin -, sondern um die Behandlung bzw. Vorbeugung einer medizinisch diagnostizierten Erkrankung, welche zu einer massiven Einschränkung der Beweglichkeit bis hin zu einer vollständigen Immobilität und damit Pflegebedürftigkeit führe. Sie erbringe somit Leistungen im Hinblick auf die Heilung von Kranken, wobei "Aquacura Wassergymnastik" auf die Behandlung rheumatischer Erkrankungen ziele, die aufgrund der Schmerzen zu Einschränkungen im Bewegungsapparat und letztlich zu Muskelschwund führen würden. "Aktive Backademy" werde zur Behandlung von Rückenleiden eingesetzt, mit dem Ziel einer Verbesserung der Aktivität und der Ausdauer des Patienten sowie der Vorbeugung von neuen Verletzungen. Die "Osteoporosegymnastik" diene der Behandlung der Osteoporose, einer Krankheit, die sich in einem dramatischen Verlust an Knochenmasse und in einem niedrigen Knochenumbau äussere. Der Knochenabbau könne mittels dieses Gymnastikprogramms aufgehalten und der Knochenwiederaufbau verbessert werden. Erstere und letztere Therapie erfolge sodann nur aufgrund einer ärztlichen Anordnung (vgl. Sachverhalt Bst. E). Hierzu entgegnet die Vorinstanz, laut Website der Beschwerdeführerin handle es sich bei den umstrittenen Kursen um - in Gruppen durchgeführte - Gymnastikkurse, bei welchen das Ausdauer- sowie das Muskel- bzw. Krafttraining ein wesentliches Element der Aktivität bilde. Die durchgeführten Aktivitäten seien vergleichbar mit denjenigen, die in Gymnastikkursen in einem Fitness- oder Gesundheitszentrum ausgeübt werden. Es handle sich also um begleitete körperliche Betätigungen, die insgesamt der Verbesserung des Wohlbefindens der Kursteilnehmer dienten und nicht der Behandlung oder Vorbeugung von Krankheiten oder Gesundheitsstörungen. Überdies könne man nicht von den bei den Teilnehmern der vorliegenden Gymnastikkurse diagnostizierten Erkrankungen automatisch auf das Vorliegen einer Heilbehandlung gemäss Art. 2 Abs. 1 aMWSTGV schliessen. Dies stünde im Widerspruch zu der Rechtsprechung, den Verordnungsbestimmungen und der Praxis der ESTV (vgl. Sachverhalt Bst. D und Bst. G).</w:t>
      </w:r>
    </w:p>
    <w:p>
      <w:r>
        <w:rPr>
          <w:b/>
        </w:rPr>
        <w:t>E. 4.1.2</w:t>
      </w:r>
    </w:p>
    <w:p>
      <w:r>
        <w:t>Wie gesehen (E. 3.2.2.3), gelten als Heilbehandlungen die Feststellung und Behandlung von Krankheiten, Verletzungen und anderen Störungen der körperlichen und seelischen Gesundheit des Menschen sowie Tätigkeiten, die der Vorbeugung von Krankheiten und Gesundheitsstörungen des Menschen dienen (Art. 2 Abs. 1 aMWSTGV). Nicht als ärztliche Heilbehandlungen gelten "Wellness"-Behandlungen, die auf den Erhalt oder die Verbesserung des körperlichen/seelischen Wohlbefindens abzielen. Auch "Fitness"-Behandlungen zählen nicht als Heilbehandlung, selbst wenn sie einen positiven Einfluss auf den Gesundheitszustand der praktizierenden Personen haben.</w:t>
      </w:r>
    </w:p>
    <w:p>
      <w:r>
        <w:rPr>
          <w:b/>
        </w:rPr>
        <w:t>E. 4.1.3</w:t>
      </w:r>
    </w:p>
    <w:p>
      <w:r>
        <w:t>Das Bundesverwaltungsgericht verkennt nicht, dass die in Frage stehenden Kurse für die daran Teilnehmenden positive Wirkungen haben und ihnen in für sie schwierigen persönlichen Situationen eine (gewisse) Unterstützung bieten können. Entgegen den Behauptungen der Beschwerdeführerin steht bei den umstrittenen Kursen aber nicht die Behandlung bzw. Heilung oder Vorbeugung von eigentlichen Krankheiten im Zentrum. Zwar benötigen die Teilnehmer bei der "Aquacura Wassergymnastik" und bei der "Osteoporosegymnastik" ein Arztzeugnis; eine Krankheit bzw. eine Störung der Gesundheit wurde somit bei diesen Kursen vorgängig durch einen Arzt oder eine Ärztin festgestellt bzw. diagnostiziert. Anzufügen ist, dass es sich aber wohl nicht um eine ärztliche Anordnung nach dem Bundesgesetz vom 18. März 1994 über die Krankenversicherung (KVG; SR 832.10) handelt, ansonsten würde die obligatorische Krankenpflegeversicherung die Kosten übernehmen. Dennoch dienen die umstrittenen Kurse an sich aber nicht der Feststellung und Behandlung/Vorbeugung der (ärztlich diagnostizierten) Krankheit oder Störung der Gesundheit, sondern - auch laut Homepage der Beschwerdeführerin - der Förderung des physischen und psychischen Wohlbefindens. Mangelnde Bewegung oder einseitige Belastungen - so die Homepage der Beschwerdeführerin weiter - führten zu Beschwerden am Bewegungsapparat, wobei auch Menschen mit bereits bestehenden Beschwerden wie Arthrose, Rückenschmerzen oder Osteoporose durch eine für sie passende Art der Bewegung bzw. durch ein gezieltes Training profitieren könnten (Vernehmlassungsbeilage 4, Auszüge von der Website der Beschwerdeführerin mit Stand vom 21. und 22. April 2008, S. 1). Kursinhalt bei "Aquacura Wassergymnastik" - ein Kurs, der helfe, die Mobilität zu verbessern, die Lebensqualität und Lebensfreude steigere sowie durch die Gymnastik im Wasser die Gelenke schone - sei vornehmlich die Förderung der Beweglichkeit, Steigerung von Kraft und Ausdauer, Schulung von Koordination und Körperwahrnehmung sowie Entspannung. Auch der Kursinhalt der "Osteoporosegymnastik" - ein Gymnastikprogramm insbesondere zur Steigerung der Leistungsfähigkeit und Entdeckung der Freude an der Bewegung - sei das funktionelle Muskeltraining, Ausdauertraining, Verbesserung der Atmung, Körperwahrnehmung und Haltungsschulung, Koordination und Gleichgewichtstraining sowie Entspannung (Vernehmlassungsbeilage 4, Auszüge von der Website der Beschwerdeführerin mit Stand vom 21. und 22. April 2008, S. 3 f.). Die vorliegenden Kurse sind somit insgesamt rechtswesentlich mit solchen in einem Fitness- oder Gesundheitszentrum vergleichbar - indem auch sie sich vermutlich positiv auf den allgemeinen Gesundheitszustand auswirken - mit dem Unterschied, dass sie auf Personen mit bestehenden Beschwerden wie bspw. Arthrose, Rückenschmerzen oder Osteoporose zugeschnitten sind. Gleiches muss erst recht für den Kurs "Aktive Backademy" gelten, bei welchem nicht einmal ein ärztliches Zeugnis vorzuweisen ist. Dass nicht die Behandlung (bzw. Heilung) oder Vorbeugung von Krankheiten im Zentrum steht, bestätigt sich u.a. auch durch die Art, wie die Beschwerdeführerin den Kursteilnehmern Rechnung stellt. Sie verlangt im Rahmen einer Teilnahmebestätigung die "Kurskosten" entsprechend der Anzahl besuchter "Lektionen" - und nicht für erbrachte Behandlungen - à Fr. 14.-- pro Lektion, zahlbar halbjährlich. Der Rechnungsbetrag sei spätestens 30 Tage nach Kursbeginn zu überweisen. Die pro Semester angebotenen, wöchentlichen (Gruppen-)Kurse sind also auch diesbezüglich mit einem Eintrittspreis bzw. Abonnement in einem Fitnessstudio oder in einem Gesundheitszentrum vergleichbar und weniger mit einer auf den Einzelfall zugeschnittenen, verordneten Behandlung. Wie erwähnt (E. 3.2.2.3), zählen gemäss Verwaltungspraxis physiotherapeutische Leistungen, die in einem Fitnessstudio oder in einem sonstigen Gesundheitszentrum im Rahmen eines Eintrittspreises oder eines Abonnements in Anspruch genommen werden können, als steuerbare Leistungen.</w:t>
      </w:r>
    </w:p>
    <w:p>
      <w:r>
        <w:rPr>
          <w:b/>
        </w:rPr>
        <w:t>E. 4.1.4</w:t>
      </w:r>
    </w:p>
    <w:p>
      <w:r>
        <w:t>Da die angebotenen Kurse somit nicht als Heilbehandlung im Sinne von Art. 2 Abs. 1 aMWSTGV gelten können und nicht unter die Steuerausnahmen von Art. 18 Ziff. 3 aMWSTG fallen, erübrigen sich - so in Übereinstimmung mit der Vorinstanz - weitere Abklärungen bzgl. der subjektiven Voraussetzungen - so insbesondere zum ambulanten Behandlungszentrum oder zum Angestelltenverhältnis. Offenbleiben kann die Frage, welche Kurse von Physiotherapeuten und Physiotherapeutinnen mit einer (nachweislich) gültigen Berufsausübungsbewilligung geleitet wurden. Abschliessend wäre der Vorinstanz jedoch beizupflichten, dass die Beschwerdeführerin lediglich für drei Physiotherapeutinnen eine gültige kantonale Berufsausübungsbewilligung vorgelegt hat.</w:t>
      </w:r>
    </w:p>
    <w:p>
      <w:r>
        <w:rPr>
          <w:b/>
        </w:rPr>
        <w:t>E. 4.2.1</w:t>
      </w:r>
    </w:p>
    <w:p>
      <w:r>
        <w:t>Weiter bringt die Beschwerdeführerin vor, bei den angebotenen Kursen handle es sich um ein spezifisches Gesundheitstraining im Hinblick auf die Erreichung eines spezifischen Lernziels. Die Patienten lernten mit ihren Schmerzen umzugehen bzw. diese zu vermeiden. Die Leistungen würden also bei der Prävention von oder der Rehabilitation nach Eintritt von gesundheitlichen Problemen einsetzen. Es gehe um die Aneignung von neuen Erkenntnissen, Wissen und Verhaltensweisen im Bereich Gesundheitstraining inkl. dazugehörenden Grundkenntnissen über anatomische und medizinische Aspekte. Für die Erreichung dieses Lernzieles sei denn auch qualifiziertes Fachpersonal notwendig, um das gesteckte Ausbildungsziel zu erreichen. Somit würden die Umsätze aus den Kursen unter die Ausnahmebestimmung gemäss Art. 18 Ziff. 11 aMWSTG - Bildungsleistungen - fallen (Sachverhalt Bst. E). Die Vorinstanz erwidert, auch Art. 18 Ziff. 11 aMWSTG greife nicht, da es sich bei den im Rahmen der vorliegend umstrittenen Gymnastikkursen ausgeübten Aktivitäten um begleitete körperliche Betätigungen handle, welche insgesamt der Verbesserung des persönlichen und körperlichen Wohlbefindens dienten. Das Bundesgericht habe nämlich bereits entschieden, dass solche Aktivitäten - namentlich im Bereich Gymnastik - nicht als ausgenommene Bildungsleistungen gelten würden (Sachverhalt Bst. G).</w:t>
      </w:r>
    </w:p>
    <w:p>
      <w:r>
        <w:rPr>
          <w:b/>
        </w:rPr>
        <w:t>E. 4.2.2</w:t>
      </w:r>
    </w:p>
    <w:p>
      <w:r>
        <w:t>Wie schon in Erwägung 3.2.2.3 erwähnt, fallen gemäss Bundesgericht Umsätze, die aufgrund des Zurverfügungstellens von Fitnessgeräten, Sauna- oder Solariumseinrichtungen oder für Betätigungen in den Bereichen Aerobic, Gymnastik oder Spinning - oder in diesem Zusammenhang angebotene Kurse -, nicht unter den Begriff der Ausbildungsleistungen. Diese dienen insgesamt der Verbesserung des persönlichen und körperlichen Wohlbefindens der betroffenen Person, und nicht der Aus- und Weiterbildung oder dem Erwerb von Fertigkeiten.</w:t>
      </w:r>
    </w:p>
    <w:p>
      <w:r>
        <w:rPr>
          <w:b/>
        </w:rPr>
        <w:t>E. 4.2.3</w:t>
      </w:r>
    </w:p>
    <w:p>
      <w:r>
        <w:t>Die vorliegend zu beurteilenden Kurse hängen nach Auffassung des Bundesverwaltungsgerichts in der Tat nicht eng mit einer erzieherischen oder bildenden Zielsetzung zusammen und dienen auch nicht vor allem dazu, Wissen zu vermitteln oder zu vertiefen, oder dem Erwerb von Kenntnissen oder Fertigkeiten. Wie gesehen (E. 4.1.3), dienen sie gerade der Förderung des physischen und psychischen Wohlbefindens, selbst wenn sie auf Personen mit bestehenden Beschwerden zugeschnitten sind.</w:t>
      </w:r>
    </w:p>
    <w:p>
      <w:r>
        <w:rPr>
          <w:b/>
        </w:rPr>
        <w:t>E. 4.3.1</w:t>
      </w:r>
    </w:p>
    <w:p>
      <w:r>
        <w:t>Die Beschwerdeführerin rügt weiter, massgebend für die Verletzung der Rechtsgleichheit und Wirtschaftsfreiheit sei die tatsächliche Umsetzung und nicht die "blosse Absichtserklärung". Die Rheumaligen C._______, D._______ sowie E._______ seien von der Mehrwertsteuerpflicht ausgenommen; deren Umsatzstrukturen seien aber nahezu identisch mit jener der Beschwerdeführerin. Im Gegenteil erziele die Rheumaliga D._______ weit höhere steuerbare Umsätze als die Beschwerdeführerin, sei aber nicht mehrwertsteuerpflichtig. Weshalb diese nicht ins Register der Mehrwertsteuerpflichtigen aufgenommen würden, sei nicht ersichtlich. Art. 8 und 27 BV sei somit verletzt. Es bestehe eine "gelebte Praxis" und die ESTV habe auch nicht kundgetan, von dieser Praxis abzuweichen (Sachverhalt Bst. E). Dem hält die Vorinstanz entgegen, die gemäss Rechtsprechung erforderlichen Voraussetzungen für eine Gleichbehandlung im Unrecht seien nicht erfüllt. Sie habe in der aBB 20 und BB 20 klar und unmissverständlich zu erkennen gegeben, dass die in einem Fitnessstudio/Gesundheitszentrum im Rahmen eines Eintrittspreises bzw. Abonnements in Anspruch genommene physiotherapeutischen Leistungen steuerbar seien. Dies sei keine "blosse Absichtserklärung", sondern eine verbindliche Praxis. Der Grundsatz der Gesetzmässigkeit gehe vor und letztlich bestünde kein Anspruch auf Gleichbehandlung im Unrecht, wenn die abweichende Behandlung nur in einem einzigen oder in wenigen Fällen geschehen sei (Sachverhalt Bst. G).</w:t>
      </w:r>
    </w:p>
    <w:p>
      <w:r>
        <w:rPr>
          <w:b/>
        </w:rPr>
        <w:t>E. 4.3.2</w:t>
      </w:r>
    </w:p>
    <w:p>
      <w:r>
        <w:t>Eine Behörde verletzt das Rechtsgleichheitsgebot, wenn sie bei vergleichbaren Sachverhalten das Recht ungleich anwendet und dafür keine sachlichen Gründe vorliegen (E. 2.1). Ein Anspruch auf Gleichbehandlung im Unrecht wird nach der bundesgerichtlichen Rechtsprechung nur dann ausnahmsweise anerkannt, wenn eine rechtsanwendende Behörde eine gesetzwidrige Praxis pflegt und überdies zu erkennen gibt, dass sie davon auch in Zukunft nicht abweichen werde (BGE 132 II 485 E. 8.6 und BGE 127 I 1 E. 3c).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(statt vieler: BGE 122 II 446 E. 4a und BGE 112 Ib 381 E. 6). Kein Anspruch auf Gleichbehandlung im Unrecht besteht, wenn die vom Gesetz abweichende Behandlung nur in einem einzigen oder in einigen wenigen Fällen geschehen ist (Häfelin et al., a.a.O., Rz. 599 ff.; zum Ganzen: Urteil des BVGer A-704/2013 vom 28. November 2013 E. 4, mit weiteren Hinweisen).</w:t>
      </w:r>
    </w:p>
    <w:p>
      <w:r>
        <w:rPr>
          <w:b/>
        </w:rPr>
        <w:t>E. 4.3.3</w:t>
      </w:r>
    </w:p>
    <w:p>
      <w:r>
        <w:t>Es ist der Vorinstanz beizupflichten, dass es sich bei den in ihren Branchenbroschüren als Verwaltungsverordnungen gemachten Meinungsäusserungen über die Auslegung der anwendbaren Gesetzesbestimmungen nicht um eine blosse "Absichtserklärung" handelt. Diese dienen nämlich der Sicherstellung einer einheitlichen, gleichmässigen und sachrichtigen Praxis des Gesetzesvollzuges (BVGE 2010/33 E. 3.3.1; Michael Beusch, Was Kreisschreiben dürfen und was nicht, Der Schweizer Treuhänder [ST] 2005 S. 613 ff.) und sind als solche für die Verwaltungsbehörden verbindlich, wenn sie nicht klarerweise einen verfassungs- oder gesetzwidrigen Inhalt aufweisen (Michael Beusch, in: Zweifel/Beusch [Hrsg.], Kommentar zum Schweizerischen Steuerrecht, Bundesgesetz über die direkte Bundessteuer [DBG], 3. Aufl. 2017, Art. 102 Rz. 15 ff.). Die Vorinstanz hat vorliegend keine gesetzwidrige Praxis gepflegt und zu erkennen gegeben, dass sie davon nicht abweichen werde. Selbst wenn bei den aufgezählten Rheumaligen eine vergleichbare Situation vorliegen sollte, wäre die vom Gesetz abweichende Behandlung nur in einigen wenigen Fällen geschehen und würde keinen Anspruch auf Gleichbehandlung im Unrecht gewähren.</w:t>
      </w:r>
    </w:p>
    <w:p>
      <w:r>
        <w:rPr>
          <w:b/>
        </w:rPr>
        <w:t>E. 4.4</w:t>
      </w:r>
    </w:p>
    <w:p>
      <w:r>
        <w:t>Zusammenfassend stellen die hier zu beurteilenden Kurse keine Heilbehandlungen im Sinn von Art. 18 Ziff. 3 aMWSTG und keine Bildungsleistungen gemäss Art. 18 Ziff. 11 aMWSTG dar und sind deshalb steuerbar. Die Vorinstanz hat die Steuerforderung betreffend die Steuerperioden 1. Quartal 2003 bis 4. Quartal 2008 (Zeit vom 1. Januar 2003 bis 31. Dezember 2008) zu Recht auf insgesamt Fr. 75'079.85 festgesetzt. Da die von der Beschwerdeführerin in den Jahren 2002 bis 2008 erzielten Umsätze jeweils höher als Fr. 150'000.-- pro Jahr waren, ist der Eintrag ins Mehrwertsteuerregister zu Recht rückwirkend auf den 1. Januar 2003 erfolgt (vgl. E. 3.3.2). Überdies hat die Vorinstanz nicht gegen das Gebot der rechtsgleichen Behandlung verstossen und die Wirtschaftsfreiheit nicht verletzt.</w:t>
      </w:r>
    </w:p>
    <w:p>
      <w:r>
        <w:rPr>
          <w:b/>
        </w:rPr>
        <w:t>E. 5.1</w:t>
      </w:r>
    </w:p>
    <w:p>
      <w:r>
        <w:t>Bei verspäteter Entrichtung der Mehrwertsteuer durch den Steuerpflichtigen oder diejenigen Personen, welche aus der Steuerforderung mithaften, ist ohne Mahnung und unabhängig vom Verschulden ein Verzugszins zu bezahlen (Art. 47 Abs. 2 aMWSTG; Thomas P. Wenk, mwst.com, Art. 47 Abs. 1 und 2 Rz. 4). Der Verzugszinssatz beläuft sich gemäss den entsprechenden Verordnungen des Eidgenössischen Finanzdepartements (EFD) für die Zeit bis zum 31. Dezember 2009 auf 5% und vom 1. Januar 2010 bis zum 31. Dezember 2011 auf 4.5% (Art. 90 Abs. 3 Bst. b aMWSTG i.V.m. Art. 1 der Verordnung vom 11. Dezember 2009 des EFD über die Verzugs- und Vergütungszinssätze [SR 641.207.1]).</w:t>
      </w:r>
    </w:p>
    <w:p>
      <w:r>
        <w:rPr>
          <w:b/>
        </w:rPr>
        <w:t>E. 5.2</w:t>
      </w:r>
    </w:p>
    <w:p>
      <w:r>
        <w:t>Der Verzugszins beträgt Fr. 17'080.67, was von beiden Parteien anerkannt ist. Der Einspracheentscheid ist diesbezüglich zu korrigieren und die Verzugszinsforderung auf (gerundet) Fr. 17'080.-- festzusetzen. Diesbezüglich ist die Beschwerde mithin teilweise gutzuheissen, im Übrigen jedoch abzuweisen.</w:t>
      </w:r>
    </w:p>
    <w:p>
      <w:r>
        <w:rPr>
          <w:b/>
        </w:rPr>
        <w:t>E. 6.1</w:t>
      </w:r>
    </w:p>
    <w:p>
      <w:r>
        <w:t>Die Verfahrenskosten sind in der Regel der unterliegenden Partei aufzuerlegen (Art. 63 Abs. 1 VwVG). Da die Beschwerdeführerin weitestgehend unterliegt, sind ihr die Verfahrenskosten, die auf Fr. 7'000.-- festgesetzt werden, aufzuerlegen (Art. 63 Abs. 1 VwVG i.V.m. Art. 4 des Reglements vom 21. Februar 2008 über die Kosten und Entschädigungen vor dem Bundesverwaltungsgericht [VGKE, SR 173.320.2]). Der einbezahlte Kostenvorschuss ist zur Bezahlung der Verfahrenskosten zu verwenden.</w:t>
      </w:r>
    </w:p>
    <w:p>
      <w:r>
        <w:rPr>
          <w:b/>
        </w:rPr>
        <w:t>E. 6.2</w:t>
      </w:r>
    </w:p>
    <w:p>
      <w:r>
        <w:t>Eine Parteientschädigung an die nahezu vollumfänglich unterliegende Beschwerdeführerin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