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A-5097/2011 vom 10. Januar 2013</w:t>
      </w:r>
    </w:p>
    <w:p>
      <w:r>
        <w:t>Bundesverwaltungsgericht, 2013-01-10, FR</w:t>
      </w:r>
    </w:p>
    <w:p>
      <w:r>
        <w:rPr>
          <w:b/>
        </w:rPr>
        <w:t xml:space="preserve">Quelle: </w:t>
      </w:r>
      <w:r>
        <w:t>https://mcp.opencaselaw.ch/entscheid/bvger_A-5097_2011</w:t>
      </w:r>
    </w:p>
    <w:p>
      <w:r>
        <w:t>FR: TAF A-5097/2011 du 10 janvier 2013</w:t>
      </w:r>
    </w:p>
    <w:p>
      <w:r>
        <w:t>IT: TAF A-5097/2011 del 10 gennaio 2013</w:t>
      </w:r>
    </w:p>
    <w:p>
      <w:pPr>
        <w:pStyle w:val="Heading2"/>
      </w:pPr>
      <w:r>
        <w:t>Regeste</w:t>
      </w:r>
    </w:p>
    <w:p>
      <w:r>
        <w:t>Contrôle de sécurité relatif aux personnes</w:t>
      </w:r>
    </w:p>
    <w:p>
      <w:pPr>
        <w:pStyle w:val="Heading2"/>
      </w:pPr>
      <w:r>
        <w:t>Erwägungen</w:t>
      </w:r>
    </w:p>
    <w:p>
      <w:r>
        <w:rPr>
          <w:b/>
        </w:rPr>
        <w:t>E. 8</w:t>
      </w:r>
    </w:p>
    <w:p>
      <w:r>
        <w:t>Cela posé, il échet de commencer par examiner les griefs d'ordre formel soulevés par le recourant.</w:t>
      </w:r>
    </w:p>
    <w:p>
      <w:r>
        <w:rPr>
          <w:b/>
        </w:rPr>
        <w:t>E. 8.1</w:t>
      </w:r>
    </w:p>
    <w:p>
      <w:r>
        <w:t>En premier lieu, le recourant fait valoir qu'il ignorait les motifs de son audition du 17 juin 2011 et qu'il n'a pas été dûment informé de ses droits et des conséquences d'un contrôle de sécurité au moyen d'une convocation écrite ; il a été convoqué au moyen d'un appel téléphonique et d'une confirmation du lieu et de l'heure par courrier électronique deux jours avant l'audition. Il tient ce procédé pour inéquitable au sens de l'art. 29 Cst. et "pas digne" de l'Armée suisse.</w:t>
      </w:r>
    </w:p>
    <w:p>
      <w:r>
        <w:rPr>
          <w:b/>
        </w:rPr>
        <w:t>E. 8.1.1</w:t>
      </w:r>
    </w:p>
    <w:p>
      <w:r>
        <w:t>Conformément à l'art. 29 al. 1 Cst., toute personne a droit, dans une procédure judiciaire ou administrative, à ce que sa cause soit traitée équitablement et jugée dans un délai raisonnable (cf. Jean-François Aubert/Pascal Mahon, Petit commentaire de la Constitution fédérale de la Confédération suisse du 18 avril 1999, Zurich/Bâle/Genève 2003, ad art. 29 Cst., n. 2). Ce principe requiert que chaque partie se voie offrir une possibilité raisonnable de présenter sa cause dans des conditions qui ne la placent pas dans une situation de net désavantage (cf. ATF 137 IV 172 consid. 2.6 et le renvoi à la jurisprudence administrative). Pour sa part, le droit d'être entendu au sens de l'art. 29 al. 2 Cst. garantit à toute personne le droit d'être informée et entendue avant qu'une décision soit prise à son détriment. Ce droit d'être entendu est confirmé par l'art. 29 PA. Ainsi l'administré a-t-il, en particulier, le droit d'être informé de l'ouverture d'une procédure, de son déroulement et de son contenu (cf. Bernhard Waldmann/Jürg Bickel, in Waldmann/Weissenberger, Praxiskommentar VwVG, Zurich/Bâle/Genève 2009, ad art. 20 PA, n. 71 ; Pierre Moor/Etienne Poltier, Droit administratif, Vol. II, Berne 2011, p. 316 s.). En l'occurrence, le défaut d'information dont se prévaut le recourant repose sur une prémisse erronée de sa part. En effet, l'entretien du 17 juin 2011 a eu lieu parce que le recourant a donné son accord au contrôle de sécurité élargi, le 9 septembre 2010 (cf. dossier PIO, pièce n° A1/31). L'on pouvait dès lors attendre de lui qu'il ait connaissance des textes légaux relatifs à un contrôle de sécurité ou qu'il se renseigne à ce sujet, puisqu'il s'y soumettait volontairement. Au vu des documents remplis par ses propres soins le 16 juin 2011, en particulier le "formulaire 6.96" qui mentionne expressément les bases légales d'un contrôle de sécurité (cf. dossier PIO, pièce n° A3/5), il ne pouvait en outre ignorer qu'il serait entendu dans le cadre d'un tel contrôle. On ne voit par conséquent pas - et le recourant ne l'indique d'ailleurs pas non plus - quels motifs particuliers auraient dû conduire le Service spécialisé à en définir davantage "l'enjeu" ou lui permettre de "pondérer" ses réponses. Au reste, dans le contexte particulier du contrôle des agents de l'Etat affecté à des secteurs pouvant traiter des informations classifiées ou devant être tenues secrètes, l'exigence de prévisibilité ne peut être la même qu'en maints autres domaines. Ainsi, elle ne saurait signifier qu'un collaborateur de l'administration fédérale doit se trouver en mesure d'escompter avec précision les vérifications auxquelles le Service spécialisé procédera à son sujet en s'efforçant de protéger la sécurité nationale, du moins avant l'octroi du droit d'être entendu prévu par l'art. 20 OCSP 2010.</w:t>
      </w:r>
    </w:p>
    <w:p>
      <w:r>
        <w:rPr>
          <w:b/>
        </w:rPr>
        <w:t>E. 8.1.2</w:t>
      </w:r>
    </w:p>
    <w:p>
      <w:r>
        <w:t>Contrairement à ce qui prévaut en particulier dans les dispositions de droit pénal citées par le recourant (cf. Gregor Chatton, in André Kuhn/Yvan Jeanneret, Code de procédure pénale suisse, Commentaire romand, Bâle 2010, n. 2, ad art. 201), il n'existe en outre pas de prétention générale à ce que l'autorité administrative attire l'attention de l'administré sur la possibilité de se faire représenter par un avocat ou sur la qualité en laquelle il doit participer à l'enquête administrative. Certes, le délai de convocation à l'audition a été court au cas d'espèce, et la convocation a été annoncée au recourant par téléphone et confirmée seulement par courrier électronique. Mais cette manière de procéder n'a pas nui au recourant, dès lors qu'il pouvait et devait s'attendre à la mise en oeuvre d'un contrôle de sécurité, et qu'il n'avait pas besoin de s'y préparer. Il ne prétend de surcroît pas avoir requis un report de son audition.</w:t>
      </w:r>
    </w:p>
    <w:p>
      <w:r>
        <w:rPr>
          <w:b/>
        </w:rPr>
        <w:t>E. 8.1.3</w:t>
      </w:r>
    </w:p>
    <w:p>
      <w:r>
        <w:t>La procédure suivie par l'autorité inférieure n'est donc, de ce point de vue, pas critiquable. Mal fondé, le premier grief formel invoqué sera dès lors rejeté en ses différentes branches.</w:t>
      </w:r>
    </w:p>
    <w:p>
      <w:r>
        <w:rPr>
          <w:b/>
        </w:rPr>
        <w:t>E. 8.2</w:t>
      </w:r>
    </w:p>
    <w:p>
      <w:r>
        <w:t>Dans un second groupe de griefs formels, le recourant estime que la présentation des faits élaborée par l'autorité inférieure dans la décision attaquée est "tendancieuse", car y figurent, de "manière répétitive", les mêmes délits et condamnations. Pourtant, la décision ne se baserait que sur un seul et unique complexe de faits, à savoir un conflit de voisinage. Ainsi, de l'avis du recourant, l'autorité inférieure chercherait à susciter l'impression qu'il est un personnage connu des autorités judiciaires, rencontrant souvent des problèmes de ce genre. L'autorité inférieure mentionnerait en outre systématiquement le terme "tribunal" de police (compétent pour les affaires graves) en lieu et place de "juge" de police (compétent pour les infractions légères), ce qui rendrait en substance sa condamnation plus infâmante qu'elle ne l'est réellement. Le recourant fait en outre valoir que la décision attaquée "détourne les dépositions qu'il a faites lors de l'audition ; l'on y retrouve également des phrases qu'il n'a jamais dites" (cf. recours, p. 7). Le recourant y voit en substance une violation de son droit d'être entendu.</w:t>
      </w:r>
    </w:p>
    <w:p>
      <w:r>
        <w:rPr>
          <w:b/>
        </w:rPr>
        <w:t>E. 8.2.1</w:t>
      </w:r>
    </w:p>
    <w:p>
      <w:r>
        <w:t>Le droit d'être entendu, tel qu'il est garanti par l'art. 29 PA en procédure administrative fédérale (voir également consid. 8.1.1 ci-avant), comprend le droit pour l'intéressé de prendre connaissance du dossier, de s'exprimer sur les éléments pertinents avant qu'une décision ne soit prise touchant sa situation juridique, de participer à l'administration des preuves essentielles et pertinentes ou à tout le moins de s'exprimer sur leur résultat, lorsque cela est de nature à influer sur la décision à rendre (ATF 137 IV 33 consid. 9.2 p. 48 s., ATF 136 I 265 consid. 3.2 p. 272 ; arrêt du Tribunal fédéral 1C_82/2011 du 24 août 2011 consid. 4.1; ATAF 2010/35 consid. 4.1.2 p. 494 ; cf. également : arrêt du Tribunal administratif fédéral A-6563/2011 précité consid. 3.1 et réf. cit.). Il s'agit là de droits préalables, que l'autorité doit mettre en oeuvre avant le prononcé de sa décision. Le droit d'être entendu impose en outre à l'autorité, en aval, de motiver clairement sa décision, c'est-à-dire de manière à ce que l'intéressé puisse se rendre compte de la portée de celle-ci et l'attaquer en connaissance de cause (ATF 134 I 83 consid. 4.1, ATF 133 III 439 consid. 3.3, arrêt du Tribunal fédéral 4A_408/2010 du 7 octobre 2010 consid. 2.1, non publié à l'ATF 136 III 513). De manière générale, en exposant les faits, l'autorité s'abstiendra de les apprécier ou de les qualifier sur le plan juridique ; elle se contentera de les énoncer d'une manière aussi neutre et objective que possible, et ne présentera pour établis que les faits avérés et non contestés ; les éventuels points de désaccord seront exposés comme tels, et ils seront tranchés dans la discussion juridique, avec l'indication des éléments et des motifs ayant conduit l'autorité à retenir telle thèse ou telle version plutôt que telle autre. Elle peut passer sous silence les éléments qui, sans abus du pouvoir d'appréciation, lui apparaissent non pertinents ou d'une importance mineure ; elle peut donc se limiter aux questions décisives pour l'issue du litige (ATF 134 I 83 consid. 4.1, arrêt du Tribunal fédéral 5A_704/2011 du 23 février 2012 consid. 6.1, non publié à l'ATF 138 I 49 ; arrêt du Tribunal administratif fédéral A-6563/2011 précité consid. 3.2 et la réf. cit.). La motivation doit cependant permettre de suivre le raisonnement adopté, même si l'autorité n'est pas tenue d'exprimer l'importance qu'elle accorde à chacun des éléments qu'elle cite. C'est dès lors, à cet égard, davantage la qualité et la précision de la motivation, qui peut d'ailleurs demeurer succincte selon les cas (cf. arrêt du Tribunal administratif fédéral A-6563/2011 précité consid. 3.2), que la quantité des considérations y relatives qui importe. Un inventaire exhaustif de l'ensemble des pièces produites, avec indication de leur contenu, n'apporte de surcroît souvent rien de plus à la compréhension d'une affaire (cf. arrêt du Tribunal fédéral 2A.496/2006 du 15 octobre 2007 consid. 5.1.2, non publié à l'ATF 133 II 429).</w:t>
      </w:r>
    </w:p>
    <w:p>
      <w:r>
        <w:rPr>
          <w:b/>
        </w:rPr>
        <w:t>E. 8.2.2</w:t>
      </w:r>
    </w:p>
    <w:p>
      <w:r>
        <w:t>Le droit d'être entendu confère pareillement à la partie concernée le droit d'obtenir de l'autorité que ses déclarations et celles de témoins ou d'experts qui apparaissent essentielles dans le cas concret pour l'issue du litige soient consignées par écrit, tout au moins dans leur teneur essentielle. La verbalisation des déclarations pertinentes vise notamment à donner l'occasion aux parties de participer à l'administration des preuves et de se prononcer effectivement sur leur résultat. Elle doit aussi permettre à l'autorité de recours de contrôler, s'il y a lieu, que les faits ont été constatés correctement par l'autorité inférieure (ATF 131 II 670 consid. 4.3, ATF 126 I 15 consid. 2a/aa et les réf. cit.). Les exigences administratives en la matière sont toutefois moins strictes que dans un procès pénal par exemple (cf. arrêt du Tribunal fédéral 1C_193/2011 du 24 août 2011 consid. 2.1). Le Tribunal fédéral a ainsi déjà jugé que le droit d'être entendu de celui qui fait l'objet d'une audition personnelle lors d'un contrôle de sécurité est respecté lorsque l'essentiel de l'entretien, c'est-à-dire les éléments susceptibles d'influencer la décision, est consigné par écrit et que la personne auditionnée a l'occasion, au titre du droit de consulter le dossier, d'écouter l'entier des bandes "son" originales et qu'elle peut s'exprimer librement à ce sujet. Il n'est dès lors pas nécessaire de rapporter par écrit, littéralement et dans son intégralité, l'entretien enregistré sur un support sonore (ATF 130 II 473 consid. 4 ss).</w:t>
      </w:r>
    </w:p>
    <w:p>
      <w:r>
        <w:rPr>
          <w:b/>
        </w:rPr>
        <w:t>E. 8.2.3</w:t>
      </w:r>
    </w:p>
    <w:p>
      <w:r>
        <w:t>En l'espèce, l'autorité inférieure a tout d'abord constaté que le recourant était inscrit au casier judiciaire suisse et connu de différentes autorités pénales (...) (cf. décision attaquée, p. 2 ch. 1.1), élément nécessaire à la conduite d'un contrôle de sécurité élargi avec audition (art. 11 al. 3 OCSP 2010). Elle a ensuite relevé que : "A la lecture de votre dossier, vous êtes enregistré dans des fichiers de police pour dommage à la propriété, injures, menaces, infraction à la LCR, infraction à la LACP et à la loi cantonale sur la gestion des déchets. Vous avez également, en date du 26.05.2009, été reconnu coupable, par le tribunal de police de [...], de dommages à la propriété, de violations simple et grave de la LCR, de menace et contraventions à la LACP (cf. décision attaquée, p. 6)." Il est vrai que, dans le paragraphe précité, l'utilisation du terme "également" peut paraître maladroite. En effet, en s'opposant à l'ordonnance pénale du juge d'instruction du 26 mars 2009, le recourant a manifesté son désaccord avec la solution proposée et exprimé sa volonté de voir son droit examiné par le juge de police de son district. Son opposition a dès lors eu comme effet d'empêcher l'entrée en force de l'ordonnance pénale, et, au terme de la procédure pénale, le juge de police a rendu un jugement qui a consacré sa mise à néant. Cela étant, on ne saurait reprocher à l'autorité inférieure d'avoir reproduit dans ses constatations les différentes informations obtenues durant l'instruction, même si celles-ci sont redondantes. Elles doivent en effet permettre au recourant de savoir quelles autorités ont été consultées et quelles données personnelles ont été effectivement transmises (art. 21 al. 2 1ère phrase LMSI ; ATAF 2009/43 consid. 3 et 4.3). Le Service spécialisé peut en outre tenir compte, à titre d'antécédents pertinents pour l'appréciation du risque, des actes punissables qui n'ont pas été punis, pour autant que les faits soient suffisamment établis, y compris des infractions prescrites ou classées. A ce titre, il est dès lors important que l'autorité inférieure ne se contente pas du seul extrait du casier judiciaire ou de l'extrait du jugement entré en force. Enfin, il n'a pas échappé au Tribunal de céans que l'extrait du casier judiciaire produit au dossier PIO mentionne une unique condamnation par la "Cour d'appel du Tribunal cantonal" de (...), saisie à la suite d'un recours en appel contre le jugement du juge de police.</w:t>
      </w:r>
    </w:p>
    <w:p>
      <w:r>
        <w:rPr>
          <w:b/>
        </w:rPr>
        <w:t>E. 8.2.4</w:t>
      </w:r>
    </w:p>
    <w:p>
      <w:r>
        <w:t>Ensuite, s'agissant du grief du défaut de motivation, il convient de retenir ce qui suit : L'autorité inférieure a entendu le recourant lors de l'audition du 17 juin 2011 et lui a remis, par la suite, un projet de décision, en lui offrant la possibilité de se prononcer par écrit sur le résultat du contrôle. Comme l'a bien compris le recourant, le projet de décision reprenait les éléments essentiels discutés lors de son audition et susceptibles d'influencer la décision. Il était dès lors en mesure d'en critiquer le bien-fondé en toute connaissance de cause, ce qu'il a d'ailleurs fait. Il pouvait en outre consulter l'enregistrement audio. Il n'y a, dans ces conditions, pas lieu de se départir de la jurisprudence selon laquelle il n'est pas nécessaire de rapporter par écrit, littéralement et dans son intégralité, l'entretien enregistré sur un support sonore (ATF 130 II 473 précité). La question de savoir si les éléments essentiels ont été correctement verbalisés dans le projet de décision attaquée ne relève en soi pas du droit d'être entendu, mais du fond. Déterminer si la motivation présentée est convaincante est en effet une question distincte de celle du droit d'être entendu. La motivation peut au reste être implicite et nécessiter la consultation de l'enregistrement audio.</w:t>
      </w:r>
    </w:p>
    <w:p>
      <w:r>
        <w:rPr>
          <w:b/>
        </w:rPr>
        <w:t>E. 8.2.5</w:t>
      </w:r>
    </w:p>
    <w:p>
      <w:r>
        <w:t>Les griefs formels ainsi soulevés ne peuvent dès lors pas non plus être retenus, dans la mesure où l'on ne saurait reprocher à l'autorité inférieure un défaut de motivation au titre du respect du droit d'être entendu du recourant.</w:t>
      </w:r>
    </w:p>
    <w:p>
      <w:r>
        <w:rPr>
          <w:b/>
        </w:rPr>
        <w:t>E. 9</w:t>
      </w:r>
    </w:p>
    <w:p>
      <w:r>
        <w:t>Demeurent à examiner les griefs matériels du recourant.</w:t>
      </w:r>
    </w:p>
    <w:p>
      <w:r>
        <w:rPr>
          <w:b/>
        </w:rPr>
        <w:t>E. 9.1</w:t>
      </w:r>
    </w:p>
    <w:p>
      <w:r>
        <w:t>A cet égard, il revient à l'autorité inférieure d'apprécier, pour chaque cas particulier, ce qui peut constituer une vulnérabilité, compte tenu de tous les éléments objectifs pertinents au cas d'espèce (cf. consid. 5.1 ci avant). Autrement dit, il lui appartient d'établir un pronostic sur le risque éventuel que la personne concernée pourrait faire courir à la sécurité intérieure ou extérieure de l'Etat, en partant des conclusions techniques qu'elle peut tirer des diverses informations recueillies et des facteurs liés à la personne concernée elle-même. Il s'agit en particulier de personnes dont le comportement semblerait réceptif à des causes terroristes ou enclin à une collaboration avec des services de renseignement étrangers, qui seraient exposées à un risque de corruption, pourraient être soumises à un chantage en raison d'un passé criminel, d'habitudes de vie particulières ou de certaines faiblesses de caractère, qui devraient être jugées peu fiables et imprévisibles en raison de toxicomanie ou d'alcoolisme, ou encore de membres d'une association qui poursuit des objectifs ou prévoit des moyens illicites ou qui constitue une menace pour l'Etat (cf. arrêt du Tribunal administratif fédéral A-6294/2011 du 4 août 2012 consid. 3.1 et 5.2.2). Dans cet examen du risque concret, l'autorité inférieure n'a pas à tenir compte des seuls éléments dont l'existence ne fait nul doute ("harte" Fakten), pour autant que les faits retenus soient suffisamment établis et aptes à fonder le risque de vulnérabilité mis en évidence. Elle peut retenir notamment des actes punissables qui n'ont pas été punis, y compris des infractions prescrites ou classées. Leur importance diminue cependant avec le temps, surtout s'ils concernent une autre période de vie de la personne concernée ou ne sont qu'une bagatelle. Pareillement, l'autorité inférieure peut tenir compte d'éléments qui ne sont pas punissables ou contraires à l'ordre public, mais trahissent une vulnérabilité à la pression, l'extorsion ou la corruption par exemple. Selon la jurisprudence, il peut enfin exister un risque fondé pour la sécurité lorsque l'autorité inférieure s'appuie sur différents éléments considérés dans leur ensemble, alors même qu'un tel risque devrait être nié si l'on se basait sur un seul de ces éléments, pris isolément (cf. arrêt du Tribunal administratif fédéral A-518/2012 précité consid. 5.1.2, A 6563/2011 précité consid. 6.1 et réf. cit.). Enfin, cet examen concret effectué, il appartient à l'autorité inférieure, dans la décision qu'elle rend, d'expliquer clairement, et le cas échéant brièvement, quels sont les éléments à charge de risque qu'elle retient et pour quelle raison, au vu de la situation professionnelle de la personne concernée et concrète de sa fonction, ils sont propres à fonder le risque retenu. Vu la réserve que s'impose le Tribunal en la matière (cf. consid. 2.1 ci-avant), les explications retenues doivent apparaître comme convaincantes au regard des éléments que l'autorité inférieure a pu retenir, et le risque invoqué comme vraisemblable.</w:t>
      </w:r>
    </w:p>
    <w:p>
      <w:r>
        <w:rPr>
          <w:b/>
        </w:rPr>
        <w:t>E. 9.2</w:t>
      </w:r>
    </w:p>
    <w:p>
      <w:r>
        <w:t>En l'occurrence, l'autorité inférieure s'est fondée sur trois critères pour arrêter que le recourant représentait un risque pour la sécurité. Elle a examiné tout d'abord "l'intégrité et la crédibilité" du recourant à exercer sa fonction. Puis, elle a pris en compte son exposition à un "risque de chantage". Elle a enfin considéré la "perte de la réputation et valeur médiatique" du DDPS si le comportement de l'intéressé devait être révélé dans les médias.</w:t>
      </w:r>
    </w:p>
    <w:p>
      <w:r>
        <w:rPr>
          <w:b/>
        </w:rPr>
        <w:t>E. 9.2.1</w:t>
      </w:r>
    </w:p>
    <w:p>
      <w:r>
        <w:t>A cet égard, l'autorité inférieure a retenu en substance que le recourant a eu une relation de voisinage qui s'est régulièrement dégradée durant trois à quatre ans, soit entre 2004 et 2008, et dont la gestion lui aurait "complètement échappée". Le recourant a ainsi été condamné, sur la base de plaintes ou de dénonciations de ses voisins, pour les avoir incommodés en klaxonnant au volant de sa voiture tôt le matin du 6 août 2008, pour ne pas avoir circulé sur la moitié droite de la route (contraignant sa voisine à empiéter une bande herbeuse afin d'éviter un heurt), pour avoir enlevé trois piquets de la clôture de ses voisins parce qu'elle le gênait et pour avoir proféré des menaces à l'encontre des enfants de ses voisins fin septembre 2008. L'autorité inférieure a déduit de ces contraventions et infractions que le choix de gestion conflictuel adopté par le recourant l'avait sciemment conduit hors cadre légal et moral. Ce comportement laisserait dès lors présager une conscience limitée de son exposition à des risques de pression extérieure. L'autorité inférieure a ensuite considéré que le recourant avait délibérément dissimulé sa condamnation pénale et la naissance d'un enfant issu d'une liaison extraconjugale à son employeur. L'autorité inférieure doute d'ailleurs également que son épouse et ses enfants soient au courant de la naissance de cet enfant. Elle y voit une vulnérabilité en lien avec une discrétion excessive, qui pourrait être utilisée par des tiers au détriment des intérêts professionnels auxquels le recourant pourrait devoir veiller. L'autorité inférieure ajoute, enfin, que la fréquentation régulière par le recourant de salons de massage n'en accréditerait que davantage son exposition à un risque de pression, d'autant que ce mode de vie concerne une personne exerçant une fonction qui se doit d'être exemplaire pour les jeunes cadres appelés à être formés par ses soins. Le recourant aurait enfin eu un comportement inopportun avec un collègue de travail qui lui aurait fait perdre les nerfs.</w:t>
      </w:r>
    </w:p>
    <w:p>
      <w:r>
        <w:rPr>
          <w:b/>
        </w:rPr>
        <w:t>E. 9.2.2</w:t>
      </w:r>
    </w:p>
    <w:p>
      <w:r>
        <w:t>Pour sa part, le recourant soutient qu'il est un homme doté d'une grande capacité de gérer les conflits et qu'il n'a - à part l'incident avec ses voisins - jamais eu affaire à la police ou la justice (cf. mémoire de recours, p. 6 ch. 1a). Il cohabiterait en outre actuellement de manière paisible avec ses voisins, leur relation étant devenue viable et sereine (cf. mémoire de recours, p. 7 ch. 2b). Ses vingt ans de service au sein de l'administration fédérale démontreraient au reste qu'il est un homme raisonnable, loyal, crédible et intègre (cf. mémoire de recours, p. 11 ch. 2e). L'autorité inférieure aurait dès lors abusé de son pouvoir d'appréciation et violé l'interdiction de l'arbitraire, en le jugeant à risque.</w:t>
      </w:r>
    </w:p>
    <w:p>
      <w:r>
        <w:rPr>
          <w:b/>
        </w:rPr>
        <w:t>E. 9.3</w:t>
      </w:r>
    </w:p>
    <w:p>
      <w:r>
        <w:t>Comme il a été dit (cf. consid. 9.1 ci-avant in fine), le Tribunal a besoin, en sa qualité d'autorité de recours en matière de contrôle de sécurité, de disposer, grâce à la décision de l'autorité inférieure, d'explications qui, tout en pouvant demeurer brèves, doivent être suffisamment claires, précises et prégnantes quant au lien à établir entre les faits retenus et le pronostic de risque à établir, pour lui permettre, compte tenu de son pouvoir d'appréciation limité, d'avaliser en droit le risque reconnu. Il convient de retenir à cet égard que, si l'établissement d'un risque découle d'un pronostic, le risque doit à tout le moins être rendu objectivement et concrètement vraisemblable, de manière, en particulier, à respecter le principe de la proportionnalité (cf. consid. 2.1 ci avant). Or, au cas d'espèce, le Tribunal doit constater que l'autorité inférieure a échoué à fonder le risque invoqué sur des éléments suffisamment prégnants. L'on retiendra en effet que la fréquentation de prostituées par le recourant, le fait qu'il ait eu un enfant hors mariage avec l'une d'entre elles et la circonstance qu'il ne l'ait pas annoncé immédiatement à son épouse ou à son employeur ne débordent pas sa vie privée, à défaut d'éléments suffisants mis en évidence par le Service spécialisé. De même, sa condamnation pénale à la suite d'un conflit de voisinage ne revêt pas le caractère de gravité qui lui est porté, et le fait qu'il ne l'ait pas annoncée à son employeur ne déborde pas sa relation de travail. Au delà, l'autorité inférieure n'indique pas avec une clarté suffisante en quoi ces éléments, compte tenu de la fonction du recourant au sein de l'armée, pourraient l'exposer à un risque de chantage. Enfin, le conflit de travail invoqué avec un collègue de travail ne déborde pas non plus sa seule relation de travail. On ne saisit d'ailleurs pas en quoi le fait que le recourant ait pu "perdre ses nerfs" à une reprise lors d'une dispute avec un collègue puisse présenter un risque pour la sécurité intérieure ou extérieure du pays, étant précisé que l'autorité inférieure ne prétend pas que le recourant ait développé à cette occasion la moindre animosité à l'encontre de son collègue ou de l'administration. Il s'avère, en d'autres termes, que l'autorité inférieure n'a pas établi de manière suffisamment convaincante le lien entre les éléments invoqués à l'appui du risque, d'une part, et la fonction et la personne du recourant, de l'autre. Par suite, elle échoue à justifier le risque qu'elle oppose au recourant. Ainsi donc, il s'avère que le risque retenu par l'autorité inférieure dans la décision attaquée n'a pas été établi à suffisance de droit par les éléments invoqués, et pouvant l'être. Ceux-ci concernent essentiellement la vie privée du recourant, une infraction pénale mineure et la communication qui n'en pas a été faite à son employeur. La décision négative relativement au risque prise par l'autorité inférieure manque en d'autres termes de consistance au vu de la fonction concrète du recourant et n'apparaissent à ce titre pas suffisamment relevants en termes de risque quant à l'intégrité, la crédibilité et la vulnérabilité du recourant. La décision attaquée paraît avoir pour portée essentielle de rappeler qu'un risque est théoriquement toujours possible, et résulter davantage d'un présupposé (Vor-Urteil) que d'un pronostic fondé (Vor-Sicht).</w:t>
      </w:r>
    </w:p>
    <w:p>
      <w:r>
        <w:rPr>
          <w:b/>
        </w:rPr>
        <w:t>E. 10</w:t>
      </w:r>
    </w:p>
    <w:p>
      <w:r>
        <w:t>Il résulte des considérations qui précèdent que le recours doit être admis. La décision attaquée est annulée, et réformée en ce sens que le recourant ne présente pas un risque pour la sécurité au sens de la LMSI et de l'OCSP.</w:t>
      </w:r>
    </w:p>
    <w:p>
      <w:r>
        <w:rPr>
          <w:b/>
        </w:rPr>
        <w:t>E. 11</w:t>
      </w:r>
    </w:p>
    <w:p>
      <w:r>
        <w:t>Il ne sera pas perçu de frais de procédure, vu l'issue de la procédure (art. 63 al. 1 PA). Le montant de l'avance de frais (Fr. 1'500.-) versé par le recourant lui sera restitué après l'entrée en force du présent arrêt. L'autorité inférieure, qui succombe, versera au recourant une indemnité de dépens (art. 64 al. 1 PA et art. 7 du règlement du 21 février 2008 concernant les frais, dépens et indemnités fixés par le Tribunal administratif fédéral [FITAF, RS 173.320.2]). En l'occurrence, l'indemnité de dépens sera, sur la base du dossier (art. 14 al. 2 FITAF), arrêtée à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