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A-5063/2017 vom 21. März 2018</w:t>
      </w:r>
    </w:p>
    <w:p>
      <w:r>
        <w:t>Bundesverwaltungsgericht, 2018-03-21, DE</w:t>
      </w:r>
    </w:p>
    <w:p>
      <w:r>
        <w:rPr>
          <w:b/>
        </w:rPr>
        <w:t xml:space="preserve">Quelle: </w:t>
      </w:r>
      <w:r>
        <w:t>https://mcp.opencaselaw.ch/entscheid/bvger_A-5063_2017</w:t>
      </w:r>
    </w:p>
    <w:p>
      <w:r>
        <w:t>FR: TAF A-5063/2017 du 21 mars 2018</w:t>
      </w:r>
    </w:p>
    <w:p>
      <w:r>
        <w:t>IT: TAF A-5063/2017 del 21 marzo 2018</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die Verfügung vom 16. August 2017)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1.4.1</w:t>
      </w:r>
    </w:p>
    <w:p>
      <w:r>
        <w:t>Im Beschwerdeverfahren vor dem Bundesverwaltungsgericht ist der rechtserhebliche Sachverhalt von Amtes wegen festzustellen.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(Moser et al., a.a.O., Rz. 1.49). Die Beschwerdeinstanz ist jedenfalls nicht verpflichtet, über die tatsächlichen Vorbringen der Parteien hinaus den Sachverhalt vollkommen neu zu erforschen (BGE 122 V 157 E. 1a, BGE 121 V 204 E. 6c; BVGE 2007/27 E. 3.3; vgl. Urteile des BVGer A-5832/2016 vom 18. April 2017 E. 1.6.1 und A-1746/2016 vom 17. Januar 2017 E. 1.4; Moser et al., a.a.O., Rz. 1.52).</w:t>
      </w:r>
    </w:p>
    <w:p>
      <w:r>
        <w:rPr>
          <w:b/>
        </w:rPr>
        <w:t>E. 1.4.2</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 et al.,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A-5832/2016 vom 18. April 2017 E. 1.6.2, A-1746/2016 vom 17. Januar 2017 E. 1.5.2 und A-3119/2014 vom 27. Oktober 2014 E. 2.5; Moser et al., a.a.O., Rz. 3.149 ff.).</w:t>
      </w:r>
    </w:p>
    <w:p>
      <w:r>
        <w:rPr>
          <w:b/>
        </w:rPr>
        <w:t>E. 1.5</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A-4594/2017 vom 13. März 2018 E. 1.7.2).</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BVV 2 erzielen. Dieser Mindestlohn wurde bisher verschiedene Male der Entwicklung in der AHV angepasst (vgl. Art. 9 BVG und statt vieler: Urteile des BVGer A-5081/2014 vom 16. Februar 2016 E. 2.1.2 und C-3706/2015 vom 29. Januar 2016 E. 2.1). Die Beträge in Art. 5 BVV 2 beliefen sich für die im vorliegenden Fall relevanten Jahre auf Fr. 19'350.-- (2006; AS 2004 4643) und Fr. 19'890.-- (2007; AS 2006 4159). Ist eine arbeitnehmende Person weniger als ein Jahr lang bei einem Arbeitgebenden beschäftigt, so gilt derjenige Lohn, den sie bei ganzjähriger Beschäftigung erzielen würde, als Jahreslohn (Art. 2 Abs. 2 BVG). In Bezug auf die Ermittlung des massgebenden Lohnes im konkreten Fall ist die Vorinstanz jeweils an die Lohnbescheinigungen der zuständigen Ausgleichskasse gebunden (Urteil des BVGer A-4594/2017 vom 13. März 2018 E. 2.1.4 mit Hinweis).</w:t>
      </w:r>
    </w:p>
    <w:p>
      <w:r>
        <w:rPr>
          <w:b/>
        </w:rPr>
        <w:t>E. 2.1.3</w:t>
      </w:r>
    </w:p>
    <w:p>
      <w:r>
        <w:t>Gemäss Art. 2 Abs. 4 BVG obliegt es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BVV 2 nachgekommen: In dieser Bestimmung wird festgehalten, welche Arbeitnehmenden von der obligatorischen Versicherung ausgenommen sind (vgl. Urteil des BVGer A-4594/2017 vom 13. März 2018 E. 2.1.5 mit Hinweis).</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2.3.1</w:t>
      </w:r>
    </w:p>
    <w:p>
      <w:r>
        <w:t>Die Auffangeinrichtung BVG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 Der Zwangsanschluss erfolgt in der Regel unbefristet. Ein befristeter Anschluss wird in der Praxis (nur) dann verfügt, wenn sich ein Arbeitgeber zwar einer Vorsorgeeinrichtung angeschlossen hat, für eine bestimmte Zeitspanne aber eine Lücke besteht (vgl. Urteil des BVGer A-7265/2016 vom 3. Mai 2017 E. 2.2 mit weiteren Hinweisen).</w:t>
      </w:r>
    </w:p>
    <w:p>
      <w:r>
        <w:rPr>
          <w:b/>
        </w:rPr>
        <w:t>E. 2.3.2</w:t>
      </w:r>
    </w:p>
    <w:p>
      <w:r>
        <w:t>Eine besondere Konstellation wird in Art. 60 Abs. 2 Bst. d BVG angesprochen: Gemäss Art. 12 Abs. 1 BVG haben die Arbeitnehmenden oder ihre Hinterlassenen Anspruch auf die gesetzlichen Leistungen, auch wenn sich der Arbeitgeber noch keiner Vorsorgeeinrichtung angeschlossen hat. Diese Leistungen werden, wie in Art. 60 Abs. 2 Bst. d BVG festgehalten, von der Auffangeinrichtung BVG ausgerichtet. Entsteht der gesetzliche Anspruch eines Arbeitnehmenden auf Versicherungs- oder Freizügigkeitsleistung zu einem Zeitpunkt, an dem sein Arbeitgeber noch keiner Vorsorgeeinrichtung angeschlossen ist, so wird der Arbeitgeber «von Gesetzes wegen für alle dem Obligatorium unterstellten Arbeitnehmenden der Auffangeinrichtung angeschlossen» (Art. 2 Abs. 1 der Verordnung vom 28. August 1985 über die Ansprüche der Auffangeinrichtung der beruflichen Vorsorge [SR 831.434; nachfolgend: VOAA]; BGE 129 V 237 E. 5.1; Urteil des BVGer C-2225/2012 vom 19. November 2013 E. 3.2.2; zum Ganzen: Urteil des BVGer A-1232/2017 vom 31. Januar 2018 E. 4.4). Während die blosse Säumnis des Arbeitgebers, sich an eine Vorsorgeeinrichtung anzuschliessen, zu einem Zwangsanschluss nach Art. 60 Abs. 2 Bst. a BVG führt, richtet sich der Anschluss, sobald vor dem Anschluss an eine Vorsorgeeinrichtung Leistungsansprüche entstanden sind, nach Art. 60 Abs. 2 Bst. d BVG. Das Eidgenössische Versicherungsgericht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Vorinstanz habe deshalb bloss feststellenden Charakter (Urteil des BVGer A-1232/2017 vom 31. Januar 2018 E. 4.5 mit weiteren Hinweisen). Wie der Zwangsanschluss nach Art. 60 Abs. 2 Bst. a BVG und der freiwillige Anschluss nach Art. 60 Abs. 2 Bst. b BVG erfolgt der Anschluss nach Art. 60 Abs. 2 Bst. d BVG rückwirkend auf den Zeitpunkt, in welchem zu versicherndes Personal erstmals seine Stelle antritt (Art. 3 Abs. 1 VOAA; Urteil des BVGer A-4204/2016 vom 8. März 2017 E. 2.2.3). Weist der Arbeitgeber - nach einem Anschluss gestützt auf Art. 60 Abs. 2 Bst. d BVG - nach, dass eine andere Vorsorgeeinrichtung auch die bisherigen Verpflichtungen der Auffangeinrichtung BVG übernimmt, so wird der Anschluss des Arbeitgebers bei der Auffangeinrichtung BVG auf den Zeitpunkt der Verpflichtungsübernahme durch die andere Vorsorgeeinrichtung aufgehoben (Art. 2 Abs. 2 VOAA).</w:t>
      </w:r>
    </w:p>
    <w:p>
      <w:r>
        <w:rPr>
          <w:b/>
        </w:rPr>
        <w:t>E. 2.4.1</w:t>
      </w:r>
    </w:p>
    <w:p>
      <w:r>
        <w:t>Gemäss Art. 11 Abs. 7 BVG stellen die Auffangeinrichtung BVG und die AHV-Ausgleichskasse dem säumigen Arbeitgeber den von ihm verursachten Verwaltungsaufwand in Rechnung. Dies wird auch in Art. 3 Abs. 4 VOAA erwähnt, wonach der Arbeitgeber der Auffangeinrichtung BVG alle Aufwendungen zu ersetzen hat, die dieser in Zusammenhang mit seinem Anschluss entstehen. Detailliert geregelt sind die entsprechenden Kosten sodann im Kostenreglement der Auffangeinrichtung BVG (vorliegend in der Fassung vom 1. Januar 2017). Dieses Reglement bildet (auch im vorliegenden Fall) integrierenden Bestandteil der Anschlussverfügung (vgl. Sachverhalt Bst. A.c). Es sieht unter der Rubrik «Zwangsanschluss» für «Verfügung und Durchführung Zwangsanschluss» Kosten von Fr. 825.--vor.</w:t>
      </w:r>
    </w:p>
    <w:p>
      <w:r>
        <w:rPr>
          <w:b/>
        </w:rPr>
        <w:t>E. 2.4.2</w:t>
      </w:r>
    </w:p>
    <w:p>
      <w:r>
        <w:t>Nach der Rechtsprechung des Bundesverwaltungsgerichts ist es unabhängig davon, ob die erwähnte Regelung des Kostenreglements anwendbar ist, aufgrund des Kostendeckungs- und Äquivalenzprinzips zulässig, dass die Auffangeinrichtung bei einem Anschluss im Sinne von Art. 60 Abs. 2 Bst. d BVG je separat ausgewiesene Kosten von Fr. 450.-- für die Verfügung und von Fr. 375.-- für den Zwangsanschluss in Rechnung stellt (vgl. Urteile des BVGer A-4594/2017 vom 13. März 2018 E. 2.4.2, A-6813/2016 vom 30. August 2017 E. 3.9 und A-6967/2016 vom 12. Mai 2017 E. 3.2.2 f.).</w:t>
      </w:r>
    </w:p>
    <w:p>
      <w:r>
        <w:rPr>
          <w:b/>
        </w:rPr>
        <w:t>E. 3</w:t>
      </w:r>
    </w:p>
    <w:p>
      <w:r>
        <w:t>Im vorliegenden Fall gilt es zu prüfen, ob die Vorinstanz mittels angefochtener Verfügung zu Recht festgestellt hat, dass die Arbeitgeberin seit dem 1. August 2006 der Auffangeinrichtung BVG zwangsweise angeschlossen ist (Ziff. I des Dispositivs).</w:t>
      </w:r>
    </w:p>
    <w:p>
      <w:r>
        <w:rPr>
          <w:b/>
        </w:rPr>
        <w:t>E. 3.1</w:t>
      </w:r>
    </w:p>
    <w:p>
      <w:r>
        <w:t>Da unbestritten ist, dass die Beschwerdeführerin im Jahr 2006 keiner Vorsorgeeinrichtung angeschlossen war, ist als erstes der Frage nachzugehen, ob eine Versicherungspflicht bestand:</w:t>
      </w:r>
    </w:p>
    <w:p>
      <w:r>
        <w:rPr>
          <w:b/>
        </w:rPr>
        <w:t>E. 3.1.1</w:t>
      </w:r>
    </w:p>
    <w:p>
      <w:r>
        <w:t>Die Beschwerdeführerin begründet ihre Beschwerde einzig und pauschal damit, sie habe nie Arbeitnehmende beschäftigt (Sachverhalt Bst. B.a) und infolgedessen habe sie auch nie Arbeitsverhältnisse aufgelöst. Telefonisch hat sie sodann ausgeführt, ihr sei nach Erhalt der Vernehmlassung eingefallen, dass die besagten Arbeitnehmenden von der Ergänzungsleistung bezahlt worden seien (Sachverhalt Bst. D).</w:t>
      </w:r>
    </w:p>
    <w:p>
      <w:r>
        <w:rPr>
          <w:b/>
        </w:rPr>
        <w:t>E. 3.1.2</w:t>
      </w:r>
    </w:p>
    <w:p>
      <w:r>
        <w:t>Die Vorinstanz macht namentlich geltend, die massgeblichen Lohnbescheinigungen der Ausgleichskasse, die Rektifikate 2006-2007 (beide datierend vom 17. November 2016), hätten ergeben, dass im Jahr 2006 bei der bei unterjähriger Beschäftigung gesetzlich vorgesehenen Hochrechnung auf einen Jahreslohn die Eintrittsschwelle zur Versicherungspflicht überschritten worden sei. Aus der Lohnbescheinigung der Ausgleichskasse für das Jahr 2006 gehe hervor, dass ein Arbeitnehmer der Beschwerdeführerin zwischen dem 1. September 2006 und dem 31. Dezember 2006 insgesamt Fr. 13'325.-- an Lohn bezogen habe. Um festzustellen, ob der Jahresmindestlohn gemäss Art. 2 Abs. 1 BVG erreicht werde, sei gemäss Art. 2 Abs. 2 BVG darauf abzustellen, wieviel der Arbeitnehmer bei ganzjähriger Beschäftigung verdient hätte. Der massgebliche Jahresmindestlohn werde im vorliegenden Fall erreicht (Fr. 39'975.--). Eine andere Arbeitnehmerin der Beschwerdeführerin habe sodann zwischen dem 1. August 2006 und dem 30. September 2006 insgesamt Fr. 3'825.-- an Lohn bezogen, was - bezogen auf ein Jahr - ebenfalls einen höheren als den massgeblichen Jahresmindestlohn ergebe (Fr. 22'950.--). Dass ein Ausnahmetatbestand nach Art. 1j BVV 2 vorliegen würde, sei von der Beschwerdeführerin nicht vorgebracht worden.</w:t>
      </w:r>
    </w:p>
    <w:p>
      <w:r>
        <w:rPr>
          <w:b/>
        </w:rPr>
        <w:t>E. 3.1.3</w:t>
      </w:r>
    </w:p>
    <w:p>
      <w:r>
        <w:t>Wie vorangehend in Erwägung 2.2.1 dargelegt, muss ein Arbeitgeber eine in das Register für die berufliche Vorsorge eingetragene Vorsorgeeinrichtung errichten oder sich einer solchen anschliessen, sobald er Arbeitnehmende beschäftigt, die obligatorisch zu versichern sind. Demgemäss reicht für eine Anschlusspflicht die Beschäftigung eines einzigen Arbeitnehmers bzw. einer einzigen Arbeitnehmerin, welche(r) die Voraussetzungen für die obligatorische Versicherung erfüllt. Aus der dem Gericht vorliegenden - massgebenden (vgl. E. 2.1.2) - Lohnbescheinigung 2006 ergibt sich, dass ein Arbeitnehmer der Beschwerdeführerin vom 1. September 2006 bis zum 31. Dezember 2006 insgesamt - also während vier aufeinanderfolgenden Monaten - einen Lohn in Höhe von Fr. 13'325.-- bezogen hat. Entsprechend dem in Erwägung 2.1.2 Dargelegten ist in Fällen, in welchen eine arbeitnehmende Person weniger als ein Jahr lang bei einem Arbeitgeber beschäftigt ist, von demjenigen Lohn auszugehen, den sie bei ganzjähriger Beschäftigung erzielen würde. Im konkreten Fall ergibt sich für 2006 ein Jahreslohn von Fr. 39'975.--. Dazu kommt eine Arbeitnehmerin, welche vom 1. August 2006 bis zum 30. September 2006 insgesamt Fr. 3'825.-- an Lohn bezogen hat, was bei entsprechender Umrechnung für 2006 einen Jahreslohn von Fr. 22'950.-- ergibt. Die Hochrechnung des erzielten Lohnes liegt in beiden Fällen über dem massgebenden Grenzwert für eine BVG-Pflicht (vgl. E. 2.1.2 und E. 3.1.2). Das Vorliegen eines Ausnahmetatbestands gemäss Art. 1j BVV 2 (vgl. E. 2.1.3) wurde weder vorgebracht noch ergibt sich dergleichen aus den Akten.</w:t>
      </w:r>
    </w:p>
    <w:p>
      <w:r>
        <w:rPr>
          <w:b/>
        </w:rPr>
        <w:t>E. 3.1.4</w:t>
      </w:r>
    </w:p>
    <w:p>
      <w:r>
        <w:t>Nach dem Gesagten steht fest, dass die Beschwerdeführerin ab 1. August 2006 mindestens eine Person beschäftigt hat, welche der BVG-Pflicht unterstand. Damit wäre sie verpflichtet gewesen, sich per 1. August 2006 einer registrierten Vorsorgeeinrichtung anzuschliessen bzw. eine solche zu errichten (vgl. E. 2.2.1).</w:t>
      </w:r>
    </w:p>
    <w:p>
      <w:r>
        <w:rPr>
          <w:b/>
        </w:rPr>
        <w:t>E. 3.2</w:t>
      </w:r>
    </w:p>
    <w:p>
      <w:r>
        <w:t>Aufgrund des in Erwägung 2.3.2 Dargelegten ist als zweites zu prüfen, ob im vorliegenden Fall bereits ein gesetzlicher Anspruch eines Arbeitnehmenden auf Versicherungs- oder Freizügigkeitsleistung entstanden ist: Nach den dem Gericht vorliegenden Akten hat die erwähnte Arbeitnehmerin der Beschwerdeführerin deren Unternehmen verlassen, dies Ende September 2006. Damit hat jedenfalls sie einen gesetzlichen Anspruch auf eine Freizügigkeitsleistung erworben (vgl. Art. 2 Abs. 1 des Bundesgesetzes vom 17. Dezember 1993 über die Freizügigkeit in der beruflichen Alters-, Hinterlassenen- und Invalidenvorsorge [Freizügigkeitsgesetz, FZG; SR 831.42], wonach Versicherte, welche die Vorsorgeeinrichtung verlassen, bevor ein Vorsorgefall eintritt [Freizügigkeitsfall], Anspruch auf eine Austrittsleistung haben).</w:t>
      </w:r>
    </w:p>
    <w:p>
      <w:r>
        <w:rPr>
          <w:b/>
        </w:rPr>
        <w:t>E. 3.3.1</w:t>
      </w:r>
    </w:p>
    <w:p>
      <w:r>
        <w:t>Zusammenfassend ist Folgendes festzuhalten: Die Beschwerdeführerin hat seit dem 1. August 2006 BVG-pflichtige Arbeitnehmende beschäftigt. Bevor sie sich freiwillig einer Vorsorgeeinrichtung angeschlossen hat, ist mindestens ein Freizügigkeitsfall eingetreten. Damit wurde die Beschwerdeführerin nach der vorn in Erwägung 2.3.2 genannten Ordnung von Gesetzes wegen - also sozusagen «automatisch» - per Datum des Stellenantrittes des betreffenden Arbeitnehmenden der Auffangeinrichtung BVG angeschlossen. Unter diesen Umständen erweist sich die angefochtene Verfügung der Vorinstanz, mit welcher diese den zwangsweisen Anschluss der Beschwerdeführerin per 1. August 2006 feststellt, als rechtskonform. Dies gilt auch in Bezug auf die der Beschwerdeführerin auferlegten Kosten (vgl. dazu E. 2.4.2).</w:t>
      </w:r>
    </w:p>
    <w:p>
      <w:r>
        <w:rPr>
          <w:b/>
        </w:rPr>
        <w:t>E. 3.3.2</w:t>
      </w:r>
    </w:p>
    <w:p>
      <w:r>
        <w:t>Nichts daran zu ändern vermag der telefonisch vorgebrachte Hinweis der Beschwerdeführerin, die Arbeitnehmenden seien von der Ergänzungsleistung gezahlt worden. Woher das Geld stammt, mit welchem die Arbeitnehmenden bezahlt werden bzw. worden sind, wäre für die Stellung als Arbeitgeber und die Versicherungspflicht der angestellten Arbeitnehmenden grundsätzlich ohne Belang. Sollte die Beschwerdeführerin mit ihrem Vorbringen ihre Arbeitgebereigenschaft in Abrede stellen wollen, so erwiesen sich ihre Ausführungen als zu wenig substanziiert (vgl. E. 1.4.2).</w:t>
      </w:r>
    </w:p>
    <w:p>
      <w:r>
        <w:rPr>
          <w:b/>
        </w:rPr>
        <w:t>E. 3.3.3</w:t>
      </w:r>
    </w:p>
    <w:p>
      <w:r>
        <w:t>Am Ergebnis ändern schliesslich auch die zeitlichen Verhältnisse nichts, kann doch gegen die Feststellung eines Zwangsanschlusses im Sinne von Art. 60 Abs. 2 Bst. d BVG keine Einrede der Verjährung erhoben werden (Urteil des BVGer A-6813/2016 vom 30. August 2017 E. 3.7 mit weiteren Hinweisen).</w:t>
      </w:r>
    </w:p>
    <w:p>
      <w:r>
        <w:rPr>
          <w:b/>
        </w:rPr>
        <w:t>E. 3.4</w:t>
      </w:r>
    </w:p>
    <w:p>
      <w:r>
        <w:t>Nach dem Dargelegten ist die Beschwerde vollumfänglich abzuweisen.</w:t>
      </w:r>
    </w:p>
    <w:p>
      <w:r>
        <w:rPr>
          <w:b/>
        </w:rPr>
        <w:t>E. 4</w:t>
      </w:r>
    </w:p>
    <w:p>
      <w:r>
        <w:t>Ausgangsgemäss hätte die Beschwerdeführerin die Kosten für das Beschwerdeverfahren vor dem Bundesverwaltungsgericht zu tragen (Art. 63 Abs. 1 VwVG). Da ihr jedoch mit Zwischenverfügung vom 21. Dezember 2017 die unentgeltliche Prozessführung im Sinne von Art. 65 VwVG gewährt worden ist (Sachverhalt Bst. B.d), sind vorliegend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