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A-505/2010 vom 7. Dezember 2010</w:t>
      </w:r>
    </w:p>
    <w:p>
      <w:r>
        <w:t>Bundesverwaltungsgericht, 2010-12-07, DE</w:t>
      </w:r>
    </w:p>
    <w:p>
      <w:r>
        <w:rPr>
          <w:b/>
        </w:rPr>
        <w:t xml:space="preserve">Quelle: </w:t>
      </w:r>
      <w:r>
        <w:t>https://mcp.opencaselaw.ch/entscheid/bvger_A-505_2010</w:t>
      </w:r>
    </w:p>
    <w:p>
      <w:r>
        <w:t>FR: TAF A-505/2010 du 7 décembre 2010</w:t>
      </w:r>
    </w:p>
    <w:p>
      <w:r>
        <w:t>IT: TAF A-505/2010 del 7 dicembre 2010</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wobei als Verfügungen auch Beschwerdeentscheide gelten (Art. 5 Abs. 2 VwVG). Die ETH-Beschwerdekommission gehört zu den eidgenössischen Kommissionen nach Art. 33 Bst. f VGG (ANDRÉ MOSER/MICHAEL BEUSCH/LORENZ KNEUBÜHLER, Prozessieren vor dem Bundesverwaltungsgericht, Basel 2008, S. 14 Rz. 1.34 Fussnote 87)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auch bei Beschwerden gegen Entscheide der ETH-Beschwerdekommission grundsätzlich nach dem VwVG. Vorbehalten bleiben abweichende Bestimmungen des Bundesgesetzes vom 4. Oktober 1991 über die Eidgenössischen Technischen Hochschulen (ETH-Gesetz, SR 414.110) oder des VGG (vgl. Art. 37 Abs. 1 ETH-Gesetz i.V.m. Art. 37 VGG).</w:t>
      </w:r>
    </w:p>
    <w:p>
      <w:r>
        <w:rPr>
          <w:b/>
        </w:rPr>
        <w:t>E. 1.3</w:t>
      </w:r>
    </w:p>
    <w:p>
      <w:r>
        <w:t>Die Beschwerdeführerin hat als erste Instanz verfügt und ist daher nach Art. 37 Abs. 2 ETH-Gesetz in Verbindung mit Art. 48 Abs. 2 VwVG beschwerdeberechtigt. Sie ist durch den angefochtenen Entscheid materiell beschwert und deshalb zur Beschwerde legitimiert.</w:t>
      </w:r>
    </w:p>
    <w:p>
      <w:r>
        <w:rPr>
          <w:b/>
        </w:rPr>
        <w:t>E. 1.4</w:t>
      </w:r>
    </w:p>
    <w:p>
      <w:r>
        <w:t>Auf die frist- und formgerecht eingereichte Beschwerde (Art. 50 Abs. 1 und Art. 52 Abs. 1 VwVG) gegen den Entscheid der Vorinstanz vom 18. Januar 2010 ist somit einzutreten.</w:t>
      </w:r>
    </w:p>
    <w:p>
      <w:r>
        <w:rPr>
          <w:b/>
        </w:rPr>
        <w:t>E. 2</w:t>
      </w:r>
    </w:p>
    <w:p>
      <w:r>
        <w:t>Vorab ist zu prüfen, ob der angefochtene Entscheid aufzuheben und die Sache an die Vorinstanz zur neuen Entscheidung durch eine andere Instruktionsrichterin zurückzuweisen ist.</w:t>
      </w:r>
    </w:p>
    <w:p>
      <w:r>
        <w:rPr>
          <w:b/>
        </w:rPr>
        <w:t>E. 2.1</w:t>
      </w:r>
    </w:p>
    <w:p>
      <w:r>
        <w:t>Das Bundesverwaltungsgericht hat im Verfahren A-161/20010 mit Urteil vom 1. Juli 2010 die Instruktionsrichterin der Vorinstanz verpflichtet, in sämtlichen zwischen den Parteien rechtshängigen Verfahren als Instruktionsrichterin und Teil des Spruchkörpers in den Ausstand zu treten. Dieses Urteil ist am 7. September 2010 rechtskräftig geworden.</w:t>
      </w:r>
    </w:p>
    <w:p>
      <w:r>
        <w:rPr>
          <w:b/>
        </w:rPr>
        <w:t>E. 2.2</w:t>
      </w:r>
    </w:p>
    <w:p>
      <w:r>
        <w:t>Nach Art. 30 Abs. 1 der Bundesverfassung der Schweizerischen Eidgenossenschaft vom 18. April 1999 (BV, SR 101) und Art. 6 Ziff. 1 der Konvention vom 4. November 1950 zum Schutze der Menschenrechte und Grundfreiheiten (EMRK, SR 0.101) hat jede Person, deren Sache in einem gerichtlichen Verfahren beurteilt werden muss, Anspruch auf ein durch Gesetz geschaffenes, zuständiges, unabhängiges und unparteiisches Gericht. Diese Bestimmungen werden in Art. 10 VwVG in Bezug auf den Ausstand von Behörden der Bundesverwaltung konkretisiert. Gemäss Art. 1 Abs. 2 lit. d VwVG gehören hierzu auch die eidgenössischen Kommissionen, mithin auch die Vorinstanz (Moser/Beusch/Kneubühler, a.a.O., S. 14 Rz. 1.34 Fussnote 87).</w:t>
      </w:r>
    </w:p>
    <w:p>
      <w:r>
        <w:rPr>
          <w:b/>
        </w:rPr>
        <w:t>E. 2.3</w:t>
      </w:r>
    </w:p>
    <w:p>
      <w:r>
        <w:t>Sämtliche Verfahrenshandlungen, an denen eine befangene Person mitwirkte, sind grundsätzlich zu wiederholen (Stephan Breitenmoser/Marion Spori Fedail, in: Praxiskommentar VwVG, Waldmann/Weissenberger (Hrsg.), Zürich 2009, Art. 10 N 102; vgl. auch Reto Feller, in: Auer/Müller/Schindler (Hrsg.), Kommentar zum Bundesgesetz über das Verwaltungsverfahren (VwVG), Zürich 2008, Rz. 34 zu Art. 10).</w:t>
      </w:r>
    </w:p>
    <w:p>
      <w:r>
        <w:rPr>
          <w:b/>
        </w:rPr>
        <w:t>E. 2.4</w:t>
      </w:r>
    </w:p>
    <w:p>
      <w:r>
        <w:t>Der Anspruch auf eine unbefangene Entscheidinstanz ist formeller Natur. Eine Verfügung, die in Missachtung der Ausstandsvorschriften getroffen wurde, ist daher anfechtbar und aufzuheben, und zwar unabhängig davon, ob ein materielles Interesse an ihrer Aufhebung besteht. Aus diesem Grund muss die den Entscheid wegen Verletzung der Ausstandsbestimmungen anfechtende Person nicht nachweisen, dass dieser ohne Mitwirkung der befangenen Person anders ausgefallen wäre. Unbeachtlich ist auch, wie gross der Aufwand bei einer Wiederholung des Verfahrens ist (Breitenmoser/Spori Fedail, a.a.O, Art. 10 N 103 mit Hinweisen).</w:t>
      </w:r>
    </w:p>
    <w:p>
      <w:r>
        <w:rPr>
          <w:b/>
        </w:rPr>
        <w:t>E. 2.5</w:t>
      </w:r>
    </w:p>
    <w:p>
      <w:r>
        <w:t>Eine Heilung der Verletzung der Ausstandsbestimmungen ist zwar nicht ausgeschlossen, sollte jedoch nur mit grosser Zurückhaltung und bei nicht sehr bedeutenden Verstössen angenommen werden, ansonsten der Instanzenzug verkürzt wird. Aus diesem Grund ist eine Heilung meist, nach der Lehre stets und ganz, auszuschliessen (vgl. Breitenmoser/Spori Fedail, a.a.O, Art. 10 N 106 mit Hinweisen; vgl. auch Feller, a.a.O., Rz. 34 zu Art. 10).</w:t>
      </w:r>
    </w:p>
    <w:p>
      <w:r>
        <w:rPr>
          <w:b/>
        </w:rPr>
        <w:t>E. 2.6</w:t>
      </w:r>
    </w:p>
    <w:p>
      <w:r>
        <w:t>Die Instruktionsrichterin hat den angefochtenen Entscheid vom 18. Januar 2010 erlassen. Entgegen der Ansicht der Vorinstanz und der Beschwerdegegnerin und im Lichte des verfassungsmässigen Anspruchs auf ein unbefangenes Gericht (Art. 30 BV) reichen prozessökonomische Gründe nicht aus, um vorliegend eine Heilung der Verletzung der Bestimmungen über den Ausstand zu bejahen und von einer Rückweisung an die Vorinstanz abzusehen.</w:t>
      </w:r>
    </w:p>
    <w:p>
      <w:r>
        <w:rPr>
          <w:b/>
        </w:rPr>
        <w:t>E. 3</w:t>
      </w:r>
    </w:p>
    <w:p>
      <w:r>
        <w:t>Aus diesen Gründen wird der Entscheid der Vorinstanz vom 18. Januar 2010 aufgehoben und die Vorinstanz verpflichtet, in dieser Sache in anderer Zusammensetzung, d.h. ohne die Instruktionsrichterin neu zu entscheiden.</w:t>
      </w:r>
    </w:p>
    <w:p>
      <w:r>
        <w:rPr>
          <w:b/>
        </w:rPr>
        <w:t>E. 4</w:t>
      </w:r>
    </w:p>
    <w:p>
      <w:r>
        <w:t>Gemäss Art. 34 Abs. 2 des Bundespersonalgesetzes vom 24. März 2000 (BPG, SR 172.220.1) ist das Verfahren vor dem Bundesverwaltungsgericht in personalrechtlichen Angelegenheiten unabhängig vom Verfahrensausgang, ausser bei Mutwilligkeit, kostenlos. Da vorliegend kein Fall von Mutwilligkeit vorliegt, sind keine Verfahrenskosten zu erheben. Eine Parteientschädigung ist vorliegend nicht zu entrichten (Art. 64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