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A-5050/2011 vom 12. Januar 2012</w:t>
      </w:r>
    </w:p>
    <w:p>
      <w:r>
        <w:t>Bundesverwaltungsgericht, 2012-01-12, DE</w:t>
      </w:r>
    </w:p>
    <w:p>
      <w:r>
        <w:rPr>
          <w:b/>
        </w:rPr>
        <w:t xml:space="preserve">Quelle: </w:t>
      </w:r>
      <w:r>
        <w:t>https://mcp.opencaselaw.ch/entscheid/bvger_A-5050_2011</w:t>
      </w:r>
    </w:p>
    <w:p>
      <w:r>
        <w:t>FR: TAF A-5050/2011 du 12 janvier 2012</w:t>
      </w:r>
    </w:p>
    <w:p>
      <w:r>
        <w:t>IT: TAF A-5050/2011 del 12 gennaio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Auflage, Basel 2011, Art. 83 Rz. 24 sowie Hansjörg Seiler, in: Seiler/von Werdt/Güngerich [Hrsg.] Handkommentar zum Bundesgerichtsgesetz [BGG], Bern 2007, Art. 83 Rz. 17 mit weiteren Hinweisen). Das Bundesverwaltungsgericht ist damit zur Beurteilung der vorliegenden Beschwerde zuständig (vgl. auch Art. 21 Abs. 3 des Bundesgesetzes vom 21. März 1997 über Massnahmen zur Wahrung der inneren Sicherheit [BWIS, SR 120]).</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 Das Bundesverwaltungsgericht darf sein eigenes Gutdünken jedoch nicht ohne hinreichenden Grund an die Stelle des Ermessens der Vorinstanz setzen, da diese über spezielle Fachkenntnisse verfügt. Auch hat das Bundesverwaltungsgericht den Massstab für sicherheitsrelevante Bedenken nicht selber zu definieren. Dies obliegt in erster Linie dem Bundesrat, dem Departement und den nachgeordneten Verwaltungsbehörden. Aufgabe der Justizbehörden ist nur, zu überprüfen, ob die Exekutivbehörden bei der Konkretisierung des Sicherheitsrisikos bezogen auf eine bestimmte Funktion im Rahmen der delegierten Befugnisse geblieben sind und ob die Beurteilung im Einzelfall gemessen an diesem Massstab korrekt ist (Urteil des Bundesgerichts 2A.705/2004 vom 16. März 2005 E. 3.1 mit Hinweisen). Soweit die Überlegungen der Vorinstanz als sachgerecht erscheinen, greift das Bundesverwaltungsgericht deshalb nicht in deren Ermessen ein (vgl. zum Ganzen: Urteil des Bundesverwaltungsgerichts A-6275/2010 vom 27. April 2011 E. 2 mit weiteren Hinweisen).</w:t>
      </w:r>
    </w:p>
    <w:p>
      <w:r>
        <w:rPr>
          <w:b/>
        </w:rPr>
        <w:t>E. 3</w:t>
      </w:r>
    </w:p>
    <w:p>
      <w:r>
        <w:t>Ziel der Personensicherheitsprüfung ist es, bei Personen,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 des Bundesverwaltungsgerichts A-8451/2010 vom 20. September 2011 E. 3 mit weiteren Hinweisen; so auch schon Urteil der Rekurskommission VBS 470.07/05 vom 6. April 2006 E. 4b).</w:t>
      </w:r>
    </w:p>
    <w:p>
      <w:r>
        <w:rPr>
          <w:b/>
        </w:rPr>
        <w:t>E. 4</w:t>
      </w:r>
    </w:p>
    <w:p>
      <w:r>
        <w:t>Am 1. April 2011 ist die Verordnung vom 4. März 2011 über die Personensicherheitsprüfungen (PSPV, 120.4) in Kraft getreten. Gemäss der Übergangsbestimmung von Art. 32 Abs. 3 PSPV gilt indes für Personensicherheitsprüfungen, die vor dem Inkrafttreten dieser Verordnung eingeleitet worden sind, das bisherige Recht. Auf den vorliegenden Fall findet demnach noch die Verordnung vom 19. Dezember 2001 über die Personensicherheitsprüfungen (aPSPV, AS 2002 377) Anwendung.</w:t>
      </w:r>
    </w:p>
    <w:p>
      <w:r>
        <w:rPr>
          <w:b/>
        </w:rPr>
        <w:t>E. 5.1</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(vgl. Urteil des Bundesverwaltungsgerichts A-8451/2010 vom 20. September 2011 E. 7 und 8.3 mit Hinweis).</w:t>
      </w:r>
    </w:p>
    <w:p>
      <w:r>
        <w:rPr>
          <w:b/>
        </w:rPr>
        <w:t>E. 5.2</w:t>
      </w:r>
    </w:p>
    <w:p>
      <w:r>
        <w:t>Im hier zu beurteilenden Fall hat die Vorinstanz die negative Sicherheitsverfügung in erster Linie mit den vom Beschwerdeführer begangenen Straftaten begründet. Nach der Rechtsprechung des Bundesverwaltungsgerichts macht nicht jede Verurteilung wegen kriminellen Handlungen eine Person zum Sicherheitsrisiko. Auszugehen ist vielmehr von der Art des Delikts, den Umständen und den Beweggründen der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 des Bundesverwaltungsgerichts A 4673/2010 vom 7. April 2011 E. 6.4 mit Hinweisen; Entscheid der Rekurskommission VBS vom 27. Oktober 2004, veröffentlicht in VPB 70.25, E. 3a mit Hinweis).</w:t>
      </w:r>
    </w:p>
    <w:p>
      <w:r>
        <w:rPr>
          <w:b/>
        </w:rPr>
        <w:t>E. 5.3</w:t>
      </w:r>
    </w:p>
    <w:p>
      <w:r>
        <w:t>Die Bejahung eines relevanten Sicherheitsrisikos im Sinne des BWIS kann auch aufgrund der Summe mehrerer Risikoquellen gerechtfertigt sein, selbst wenn einzelne davon für sich genommen kein relevantes Sicherheitsrisiko darstellen würden (vgl. Entscheid der Rekurskommission VBS vom 27. Oktober 2004, veröffentlicht in VPB 70.25 E. 6a; vgl. auch Urteil des Bundesverwaltungsgerichts A-8451/2010 vom 20. September 2011 E. 6.3 mit Hinweis).</w:t>
      </w:r>
    </w:p>
    <w:p>
      <w:r>
        <w:rPr>
          <w:b/>
        </w:rPr>
        <w:t>E. 5.4</w:t>
      </w:r>
    </w:p>
    <w:p>
      <w:r>
        <w:t>Bei der Personensicherheitsprüfung kann nicht nur aufgrund "harter" Fakten entschieden werden. Es geht vielmehr darum, eine Risikoeinschätzung vorzunehmen, welche aufgrund von Erhebungen gemacht wird. Dass es sich bei den aus den erhobenen Daten gezogenen Schlussfolgerungen auch um Annahmen und Vermutungen handeln muss,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(vgl. Urteil des Bundesverwaltungsgerichts A-7894/2009 vom 16. Juni 2010 E. 5.1; vgl. auch Urteil des Bundesverwaltungsgerichts A-8451/2010 vom 20. September 2011 E. 6.1).</w:t>
      </w:r>
    </w:p>
    <w:p>
      <w:r>
        <w:rPr>
          <w:b/>
        </w:rPr>
        <w:t>E. 6</w:t>
      </w:r>
    </w:p>
    <w:p>
      <w:r>
        <w:t>Der Beschwerdeführer rügt zunächst, die Vorinstanz habe den Sachverhalt unrichtig und unvollständig, ja sogar willkürlich festgestellt.</w:t>
      </w:r>
    </w:p>
    <w:p>
      <w:r>
        <w:rPr>
          <w:b/>
        </w:rPr>
        <w:t>E. 6.1</w:t>
      </w:r>
    </w:p>
    <w:p>
      <w:r>
        <w:t>Die Vorinstanz hat im Verlaufe des Verfahrens zunächst einen Strafregisterauszug sowie einen Informationsbericht der Kantonspolizei (...) eingeholt. Weiter befinden sich sämtliche Entscheide der Jugendanwaltschaften und der Staatsanwaltschaft in den Akten. Am 5. Juli 2011 hat die Vorinstanz den Beschwerdeführer persönlich befragt. Sodann würdigt sie in ihren Erwägungen auch die vom Beschwerdeführer nachgereichten Resultate der Urinproben. Diese musste der Beschwerdeführer durchführen, weil ihm nach dem Vorfall vom 31. Mai 2009 der Führerausweis entzogen worden war und das Strassenverkehrsamt die entsprechenden Tests zur Bedingung für die Widererteilung machte (Persönliche Befragung 02'18'').</w:t>
      </w:r>
    </w:p>
    <w:p>
      <w:r>
        <w:rPr>
          <w:b/>
        </w:rPr>
        <w:t>E. 6.2</w:t>
      </w:r>
    </w:p>
    <w:p>
      <w:r>
        <w:t>Nach Ansicht des Beschwerdeführers hätte die Vorinstanz neben den Akten betreffend Vorstrafen noch weitere Informationen von Drittpersonen einholen und berücksichtigen müssen, beispielsweise Schul- und Arbeitszeugnisse oder schriftliche Auskünfte von Lehr-, Ausbildungs- und anderen Bezugspersonen. Weiter seien die militärischen Qualifikationen des Beschwerdeführers nicht in die Beurteilung eingeflossen. Die Datenerhebung sei einseitig erfolgt, indem im Wesentlichen nur die Strafakten berücksichtigt worden seien. Die erhobenen Daten seien daher nicht geeignet, als objektive Entscheidbasis zu dienen. Die Vorinstanz hält dem entgegen, die Datenerhebung sei innerhalb der Vorgaben vom Art. 21 BWIS und Art 17 aPSPV erfolgt. Bei der Beurteilung des Sicherheitsrisikos sei die Qualität der Arbeitsleistung nicht relevant und ebenso dürften keine sozialen Überlegungen einfliessen. Dem widerspricht der Beschwerdeführer in seinen Schlussbemerkungen. Um abschätzen zu können, ob eine Person ein Sicherheitsrisiko darstelle oder nicht, müssten sämtliche Charakterzüge ausgeleuchtet werden, wozu zwangsläufig auch soziale Überlegungen und das Verhalten im Alltag, namentlich bei der Arbeit, hinzugezählt werden müssten.</w:t>
      </w:r>
    </w:p>
    <w:p>
      <w:r>
        <w:rPr>
          <w:b/>
        </w:rPr>
        <w:t>E. 6.2.1</w:t>
      </w:r>
    </w:p>
    <w:p>
      <w:r>
        <w:t>Das Bundesverwaltungsgericht hat wiederholt festgehalten, dass in die Beurteilung des Sicherheitsrisikos keine sozialen Überlegungen einfliessen dürfen. Nicht relevant sei ferner die Qualität der Arbeitsleistung der betroffenen Person. Soziale Aspekte und die positive Arbeitsleistung könnten hingegen - bei Angestellten des Bundes - vom Arbeitgeber beim Entscheid über die Form der Weiterbeschäftigung mitberücksichtigt werden, zumal dieser gemäss Art. 21 Abs. 4 Satz 2 BWIS nicht an die Beurteilung der Fachstelle gebunden sei (vgl. anstatt vieler: Urteile des Bundesverwaltungsgerichts A 8451/2010 vom 20. September 2011 E. 6.2 und A-705/2007 vom 6. August 2007 E. 5). Diese Grundsätze hat bereits die Rekurskommission des Eidgenössischen Departements für Verteidigung, Bevölkerungsschutz und Sport (nachfolgend: REKO VBS) als Vorgängerorganisation des Bundesverwaltungsgerichts festgelegt. Die REKO VBS hatte einen Fall zu beurteilen, in welchem die dortige Beschwerdeführerin nach einer schweren Drogenabhängigkeit wieder zu einer geordneten Lebensführung zurückgefunden hatte. Die REKO VBS erachtete dies für bewundernswert und begrüsste auch die Integrationsbemühungen der Arbeitgeberin, hielt aber fest, diese Umstände vermöchten im Verfahren der Personensicherheitsprüfung ein allfälliges Sicherheitsrisiko nicht zu neutralisieren. Sozialen Überlegungen und solchen zur Integration der Beschwerdeführerin könnten einzig von deren Vorgesetzten beim Entscheid über eine allfällige Weiterbeschäftigung Bedeutung zukommen. Ebensowenig vermöge die gute Beurteilung der Arbeitsleistung der Beschwerdeführerin ein allfälliges Sicherheitsrisiko aufwiegen. Auch brillante Arbeitnehmer könnten geheime Informationen an ausländische Nachrichtendienste weiterleiten. Hingegen könnten die positiven Erfahrungen mit den Leistungen der Beschwerdeführerin - gleich wie soziale Überlegungen - beim Entscheid über deren Weiterbeschäftigung berücksichtigt werden (Urteil der REKO VBS 470.07/05 vom 6. April 2006, E. 3c; bestätigt in Urteil der REKO VBS 470.01/06 vom 4. Dezember 2006 E. 3d). Zugleich hat das Bundesverwaltungsgericht aber auch in mehreren Entscheiden festgehalten, dass die positive Arbeitsleistung einer Beschwerde führenden Person für die Beurteilung der Vertrauenswürdigkeit nicht bedeutungslos und gebührend mitzuberücksichtigen ist. Allerdings gebe dies nur Auskunft darüber, ob die Person in Bezug auf die Erfüllung ihrer arbeitsvertraglichen Pflichten zuverlässig sei. Für die im Hinblick auf die Personensicherheitsprüfung entscheidende Frage, ob sie über die für die Verneinung eines Sicherheitsrisikos notwendige Integrität und Vertrauenswürdigkeit verfüge, sei dies jedoch nicht von vorrangiger Bedeutung (Urteile des Bundesverwaltungsgerichts A-8451/2010 vom 20. September 2011 E. 9.3 letzter Absatz, A-4673/2010 vom 7. April 2011 E. 6.5.4, A 527/2010 vom 19. Oktober 2010 E. 6.3.4.3 und A-705/2007 vom 6. August 2007 E. 7.7).</w:t>
      </w:r>
    </w:p>
    <w:p>
      <w:r>
        <w:rPr>
          <w:b/>
        </w:rPr>
        <w:t>E. 6.2.2</w:t>
      </w:r>
    </w:p>
    <w:p>
      <w:r>
        <w:t>An dieser Rechtsprechung ist trotz der Kritik des Beschwerdeführers grundsätzlich festzuhalten; zur Beurteilung der Frage, ob eine Person ein Sicherheitsrisiko darstellt, ist die Qualität der Arbeitsleistung kein wesentliches Element, kann aber - bei Angestellten des Bundes - vom Arbeitgeber im Hinblick auf eine allfällige Weiterbeschäftigung trotz bestehenden Sicherheitsrisiken berücksichtigt werden. Arbeitszeugnissen und anderen Beurteilungen der überprüften Person kommt aber insofern Bedeutung zu, als sie geeignet sein können, deren Persönlichkeit besser zu erfassen. Gerade bei länger zurückliegenden Vorkommnissen können derartige Einschätzungen auch Hinweise auf eine allfällige positive Veränderung des Sozialverhaltens dieser Person liefern, oder aber, gegenteils, das Fortbestehen problematischer Tendenzen belegen. Im vorliegenden Zusammenhang fragt sich namentlich, ob seit der Begehung der Drogendelikte Umstände hinzugetreten sind, welche die Verurteilung in den Hintergrund treten oder anders beurteilen lassen (E. 5.2 hiervor). Es kann nicht ausgeschlossen werden, dass dabei je nach konkretem Fall auch eine längere Drogenabstinenz o.ä. eine Rolle spielen kann. Doch darf ein solcher Faktor nur im Hinblick auf das Vorliegen eines Sicherheitsrisikos gewertet werden und nicht im Sinne einer sozialen Überlegung.</w:t>
      </w:r>
    </w:p>
    <w:p>
      <w:r>
        <w:rPr>
          <w:b/>
        </w:rPr>
        <w:t>E. 6.3</w:t>
      </w:r>
    </w:p>
    <w:p>
      <w:r>
        <w:t>Der Beschwerdeführer reicht mit der Beschwerdeschrift ein Fähigkeitszeugnis als (...), ein Arbeitszeugnis und einen Arbeitsvertrag ein. Weiter legt er zwei Berichte von X._______, Facharzt für Psychiatrie und Psychotherapie, ins Recht. Diese datieren vom 28. Dezember 2009 und vom 8. September 2011. Die Behörden legen ihrem Entscheid denjenigen Sachverhalt zu Grunde, wie er sich im Zeitpunkt der Entscheidung darstellt. Entsprechend sind selbst verspätete Parteivorbringen zu berücksichtigen, wenn sie als ausschlaggebend erscheinen (Art. 32 Abs. 2 VwVG). Dies bedeutet, dass die Parteien auch im Beschwerdeverfahren vor Bundesverwaltungsgericht noch neue Sachverhaltsumstände und Beweismittel vorbringen können (vgl. André Moser/Michael Beusch/Lorenz Kneubühler, Prozessieren vor dem Bundesverwaltungsgericht, Basel 2008, Rz. 2.204, 2.206 mit Hinweisen). Entsprechend sind die genannten Beweismittel für den vorliegenden Entscheid zu berücksichtigen.</w:t>
      </w:r>
    </w:p>
    <w:p>
      <w:r>
        <w:rPr>
          <w:b/>
        </w:rPr>
        <w:t>E. 6.4</w:t>
      </w:r>
    </w:p>
    <w:p>
      <w:r>
        <w:t>Wie sich jedoch erweisen wird, vermögen die vom Beschwerdeführer geltend gemachten Umstände am Vorliegen eines Sicherheitsrisikos nichts zu ändern (vgl. unten E. 8.5 und 8.6). Es kann daher ausgeschlossen werden, dass weitere Abklärungen betreffend die persönlichen Verhältnisse und die Arbeitsleistung des Beschwerdeführers am Ergebnis der Personensicherheitsprüfung etwas ändern würden. Die entsprechenden Beweisanträge sind somit in antizipierter Beweiswürdigung abzuweisen (vgl. dazu BGE 134 I 140 E. 5.3).</w:t>
      </w:r>
    </w:p>
    <w:p>
      <w:r>
        <w:rPr>
          <w:b/>
        </w:rPr>
        <w:t>E. 6.5</w:t>
      </w:r>
    </w:p>
    <w:p>
      <w:r>
        <w:t>Der Beschwerdeführer führt aus, die persönliche Befragung vom 5. Juli 2011 sei nicht mit der nötigen Unvoreingenommenheit, Objektivität und Professionalität durchgeführt worden. Man gewinne den Eindruck, dass die Experten bereits vor dem Gespräch ein negatives Bild vom Charakter des Beschwerdeführers gehabt hätten und dies durch entsprechende Fragen bestätigt haben wollten. Dem ist zu widersprechen: Der Eindruck, die Befragung sei nicht mit der nötigen Unvoreingenommenheit oder nicht objektiv oder professionell durchgeführt worden, bestätigt sich beim Anhören der Aufnahme nicht. Weiter führt der Beschwerdeführer aus, die Fragen hätten sich wiederum nur auf die Vorstrafen bezogen oder aber in überhaupt keinem Zusammenhang zur Risikobeurteilung gestanden. Zur Bedeutung der vom Beschwerdeführer geltend gemachten Umstände ist wiederum auf die späteren Ausführungen zu verweisen (E. 8.5 und 8.6). Zudem wurde der Beschwerdeführer z.B. durchaus zu seinem jetzigen Kollegenkreis befragt (18'00''). Im Übrigen ist nicht relevant, ob auch unnötige Fragen gestellt wurden.</w:t>
      </w:r>
    </w:p>
    <w:p>
      <w:r>
        <w:rPr>
          <w:b/>
        </w:rPr>
        <w:t>E. 6.6</w:t>
      </w:r>
    </w:p>
    <w:p>
      <w:r>
        <w:t>Die Vorinstanz hat den rechtserheblichen Sachverhalt somit nicht unrichtig oder unvollständig festgestellt.</w:t>
      </w:r>
    </w:p>
    <w:p>
      <w:r>
        <w:rPr>
          <w:b/>
        </w:rPr>
        <w:t>E. 7</w:t>
      </w:r>
    </w:p>
    <w:p>
      <w:r>
        <w:t>Vorliegende Sicherheitsprüfung war einzuleiten, weil der Beschwerdeführer als (Funktion) Zugang zu VERTRAULICH klassifizierten Informationen und militärischen Anlagen mit Schutzzone 2 hat (Art. 19 Abs. 1 Bst. c BWIS i.V.m. Art. 2 Abs. 2 bzw. Art. 10 Abs. 1 Bst. b und d aPSPV). Als VERTRAULICH werden Informationen klassifiziert, deren Kenntnisnahme durch Unberechtigte den Landesinteressen Schaden zufügen kann (vgl. Art. 6 Abs. 1 der Informationsschutzverordnung vom 4. Juli 2007 [ISchV, SR 510.411]. Als militärische Anlagen der Schutzzone 2 gelten Anlagen und Anlagenteile, die in der Regel von aussen her nicht wahrnehmbar sind, von Unbefugten nicht betreten werden können und deren Zerstörung oder Beschädigung den Betrieb und/oder den Zweck der Anlage selbst oder anderer Anlagen bzw. Teilen davon oder die Auftragserfüllung von Teilen der Armee gefährdet (vgl. Art. 3 Abs. 2 Bst. b der Anlageschutzverordnung vom 2. Mai 1990 [SR 510.518.1]). Dem Beschwerdeführer kommt damit eine Funktion mit besonderer Sicherheitsempfindlichkeit zu. Die Sicherheitsempfindlichkeit ist aber noch nicht als sehr hoch einzustufen. 8.1. Die Vorinstanz kommt bereits unter dem Titel "Integrität / Vertrauenswürdigkeit / Zuverlässigkeit" zum Schluss, dass der Beschwerdeführer die geforderten Voraussetzungen seiner Funktion nicht erfülle. Unter diesem Titel ist zu prüfen, ob darauf vertraut werden kann, dass der Beschwerdeführer bei der Ausübung seiner Tätigkeit loyal zu seiner Aufgabe steht, mithin ob er Gewähr dafür bietet, das ihm entgegen gebrachte Vertrauen nicht zu missbrauchen (vgl. oben E. 3; Urteil des Bundesverwaltungsgerichts A-4673/2010 vom 7. April 2011 E. 6.5.2 mit Hinweis). 8.2. Die Vorinstanz führt aus, der Beschwerdeführer habe über einen Zeitraum von mindestens vier Jahren regelmässig und exzessiv Cannabis konsumiert. Mit diesem Gebaren habe er nicht nur ein eingeschränktes Verantwortungsbewusstsein an den Tag gelegt, sondern habe in Kauf genommen, dass seine Zuverlässigkeit am Arbeitsplatz und in der Schule unter den möglichen Nachwirkungen des Drogenkonsums leiden könnte. Zwar sei durch die eingereichten Testresultate belegt, dass der Beschwerdeführer von Mitte Januar 2010 bis Ende August 2010 kein Cannabis konsumiert habe, doch ändere dies nichts an der Tatsache, dass der Beschwerdeführer erst seit knapp 19 Monaten keine Drogen mehr konsumiere, auch wenn man seinen Aussagen bezüglich Drogenabstinenz ab August 2010 Glauben schenke. Deshalb müsse zur Zeit eher von einer Stabilisierung denn einer Abstinenz ausgegangen werden; falls es im Berufs- oder Privatleben des Beschwerdeführers zu destabilisierenden Ereignissen kommen sollte, könnte dies erneut zum Konsum von Cannabis und damit zu einer mangelnden Selbststeuerungsfähigkeit führen. Weiter, so die Vorinstanz, habe der Beschwerdeführer diverse Male aktenkundig gegen das Strassenverkehrsgesetz und das Strafgesetzbuch verstossen. Dieses Verhalten lasse darauf schliessen, dass es der Beschwerdeführer mit der Einhaltung der Gesetze nicht so streng nehme und er ein mangelndes Gefahrenbewusstsein aufweise. Ein ebenso fahrlässiges Verhalten beim Umgang mit sensitiven Daten könne nicht ausgeschlossen werden, weshalb daran zu zweifeln sei, dass er den hohen Anforderungen an Integrität, Vertrauenswürdigkeit und Zuverlässigkeit gerecht werde. Die Vorinstanz kommt zum Schluss, der Beschwerdeführer erfülle die geforderten Voraussetzungen seiner sensitiven Funktion nicht und seine Integrität und Vertrauenswürdigkeit seien als eingeschränkt zu beurteilen. 8.3. 8.3.1. Der Beschwerdeführer wendet bezüglich des früheren Cannabis-Konsums ein, dieser sei unter männlichen Jugendlichen weit verbreitet, und sein Konsum sei nicht exzessiv gewesen. Die Leistungen in der Schule und in der Berufslehre hätten auch nie darunter gelitten, weil er während des Tages auf den Konsum von Cannabis verzichtet und jeweils erst am Abend einen Joint geraucht habe. 8.3.2. Auch wenn der Konsum sog. weicher Drogen unter Jugendlichen verbreitet sein mag, manifestiert sich darin doch ein Nichtbeachten der geltenden rechtlichen Ordnung, was Fragen hinsichtlich Integrität und Vertrauenswürdigkeit berechtigt erscheinen lässt (vgl. Urteil des Bundesverwaltungsgerichts A-6275/2010 vom 27. April 2011 E. 6.2 mit Hinweisen; so auch schon Urteil der REKO VBS 470.04/05 vom 27. Dezember 2005 E. 6d). Zu beachten ist indessen, dass der Erwerb und Besitz von Betäubungsmitteln lediglich zum Eigenkonsum bloss eine Übertretung darstellt (vgl. Art. 19a Ziff. 1 i.V.m. Art. 19 des Betäubungsmittelgesetzes vom 3. Oktober 1951 [BetmG, SR 812.121]). Die entsprechenden Vorstrafen stehen bei der Beurteilung des vom Beschwerdeführer ausgehenden Sicherheitsrisikos somit nicht im Vordergrund. 8.4. 8.4.1. Bezüglich der ihm vorgehaltenen weiteren (schwereren) Delikte betont der Beschwerdeführer, dass er nie aggressiv gegenüber Dritten aufgetreten sei und durch sein Verhalten nie Personen in Gefahr gebracht habe. Er habe nie ein Delikt gegen Leib und Leben begangen. Des Weiteren sei er nie in einem Bereich straffällig geworden, welcher seine Vertrauenswürdigkeit generell trüben würde, wie dies beispielsweise bei Delikten wie Betrug, Urkundenfälschung, Diebstahl, Raub oder Nötigung der Fall sei. Was das pflichtwidrige Verhalten nach dem Fahrradunfall betrifft, weist der Beschwerdeführer darauf hin, dass er zu diesem Zeitpunkt bloss elf Jahre alt gewesen sei und man einem elfjährigen Kind nicht vorwerfen könne, sich nicht um den Knaben gekümmert zu haben. Betreffend die Sprayereien führt der Beschwerdeführer aus, er sei seinem älteren Stiefbruder hinterhergelaufen und habe diesen imitiert. Es sei notorisch, dass pubertierende Jugendliche bei Auslotung ihrer Grenzen diese bisweilen auch überschreiten würden. Dies vermöge auch zu erklären, weshalb er sich habe hinreissen lassen, ein Hakenkreuz zu sprayen. Eine rechtsradikale Ideologie habe er damals nicht unterstützt und tue das auch heute nicht. Der Beschwerdeführer habe aus dem Vorfall gelernt und seither keine Sachbeschädigungen mehr begangen. Bezüglich der Fluchtfahrt vom 31. Mai 2009 macht der Beschwerdeführer schliesslich geltend, dass es sich dabei um das einzige Delikt handle, welches er als Erwachsener begangen habe. Wiederum handle es sich um einen einmaligen Vorfall, woraus er sofort die Lehren gezogen habe. 8.4.2. Dem Beschwerdeführer ist zuzustimmen, dass das mit elf Jahren erfolgte pflichtwidrige Verhalten bei Unfall vorliegend nicht ins Gewicht fällt. Schwerer wiegen die im Alter von 17 Jahren begangenen Sprayereien. Es kann daraus durchaus geschlossen werden, dass der Beschwerdeführer es mit der Einhaltung der Gesetze nicht genau nimmt. Daran würde sich auch nichts ändern, wenn er von seinem Stiefbruder zum Sprayen animiert worden sein sollte und als Jugendlicher Grenzen ausloten wollte. Stark ins Gewicht fällt dann insbesondere die Fluchtfahrt vom 31. Mai 2009. Damit hat der Beschwerdeführer erneut ein problematisches Verhältnis zur Rechtsordnung, aber auch einen nicht akzeptablen Umgang mit den staatllichen Autoritäten an den Tag gelegt. Insofern handelt es sich, wie die Vorinstanz in ihrer Vernehmlassung richtig ausgeführt hat, keineswegs um einen einmaligen Vorfall. Aufgrund der sehr unüberlegten Fluchtfahrt - nota bene unter Cannabiseinfluss - kann auch ohne Weiteres davon ausgegangen werden, dass der Beschwerdeführer die Folgen seines Tuns wenig bedenkt und ein mangelndes Gefahrenbewusstsein aufweist. Dass die Vorinstanz vor diesem Hintergrund die Integrität und Vertrauenswürdigkeit des Beschwerdeführers als eingeschränkt beurteilt, ist daher einleuchtend. Es sei auch darauf hingewiesen, dass der Beschwerdeführer durch die Hinderung einer Amtshandlung in einem Bereich straffällig geworden ist, welcher seine Vertrauenswürdigkeit in den Augen des Staates und seiner Organe generell trübt. 8.5. 8.5.1. Der Beschwerdeführer führt weiter aus, er habe seit rund zwei Jahren und damit vor Antritt der Rekrutenschule gänzlich vom Cannabiskonsum Abstand genommen. Die Befunde über die Urinproben seien erwiesenermassen alle negativ. Die Cannabisabstinenz sei daher entgegen den Ausführungen der Vorinstanz klar verifiziert und ausgewiesen. Der Beschwerdeführer lebe in geordneten und stabilen Verhältnissen; sowohl die berufliche Situation als auch sein soziales Umfeld seien intakt. Er habe erfolgreich eine Lehre als (...) absolviert. Nach seiner Lehre habe er zunächst im angestammten Beruf bei der Y._______ gearbeitet und sei zur Zeit als (...) bei der Z._______ tätig. Seine beruflichen Qualifikationen seien stets gut gewesen. Er besuche einen Vorbereitungskurs für die Berufsmittelschule und plane, später an einer Fachhochschule zu studieren. Er lebe noch bei seiner Mutter, zu welcher er ein gutes Verhältnis habe. Auch zu seinem Vater habe er regelmässig guten Kontakt. Er habe sich von seinen ehemaligen Kollegen, mit welchen in der Gruppe Cannabis konsumiert worden sei, distanziert und habe keinen Kontakt mehr zu diesen. Er sei sodann seit mehreren Monaten mit einer gleichaltrigen Frau liiert. Die Bemerkung der Vorinstanz, wonach destabilisierende Ereignisse zu einem erneuten Cannabiskonsum und zu einer mangelnden Selbststeuerungsfähigkeit führen könnten, entbehrten unter diesen Umständen jeglicher Grundlage und seien rein spekulativ und theoretischer Natur. Weiter weist der Beschwerdeführer darauf hin, dass er sich seit Mai 2009 in einer Psychotherapie befinde, in welcher seine früheren Denkmuster thematisiert und besprochen würden. Der damalige Cannabiskonsum sei im Zusammenhang mit der belastenden Situation in der Berufslehre, dem Stress aufgrund der der bevorstehenden Lehrabschlussprüfung sowie familiärer Spannungen gestanden. 8.5.2. Die erste negative Urinprobe auf Cannabis datiert vom 10. Februar 2010, die letzte vom 27. August 2010. Ob der Beschwerdeführer seit Ende August 2010 abstinent ist, kann nicht verifiziert werden. Die Fachstelle geht in ihrem Entscheid davon aus, dass der Beschwerdeführer seit Mitte Januar 2010 kein Cannabis mehr konsumiert und erachtet den notwendigen zeitlichen Abstand aufgrund des langjährigen und exzessiven Konsumprofils noch nicht als erreicht, um von einer erfolgreichen Abstinenz sprechen zu können. Diese Auffassung erscheint vertretbar. Die vom Beschwerdeführer geltend gemachten stabilen beruflichen und privaten Verhältnisse mögen auf längere Frist eine abweichende Beurteilung rechtfertigen; im heutigen Zeitpunkt kann indessen noch nicht mit hinreichender Sicherheit ausgeschlossen werden, dass ein künftiges destabilisierendes Ereignis den Beschwerdeführer wieder zum Cannabiskonsum veranlassen könnte. Die letzte Vorstrafe betrifft den Vorfall vom 31. Mai 2009, zuvor wurde der Beschwerdeführer im Februar 2008 straffällig. Ob es sich dabei um reine "Jugenddelikte" handelt, kann man zum heutigen Zeitpunkt ebenfalls noch nicht sagen. Daran ändern auch das Fähigkeitszeugnis als (...), das Arbeitszeugnis der Y._______ und der mit der Z._______ abgeschlossene Arbeitsvertrag nichts, welche der Beschwerdeführer dem Bundesverwaltungsgericht eingereicht hat. Geht man von den geltend gemachten stabilen Lebensverhältnissen und guten beruflichen Qualifikationen aus, erscheint es wahrscheinlich, dass der Beschwerdeführer sich in Zukunft an die Rechtsordnung halten wird. Immerhin hat auch das Verhalten des Beschwerdeführers während der Rekrutenschule, welche er trotz laufender Sicherheitsprüfung absolvieren konnte, anscheinend zu keinen Beanstandungen Anlass gegeben. Doch sind damit zur Zeit noch keine Umstände gegeben, welche die Verurteilungen derart in den Hintergrund treten lassen würden, dass ein Sicherheitsrisiko vernünftigerweise ausgeschlossen werden müsste. 8.5.3. Nach dem Gesagten ist dem Beschwerdeführer auch darin nicht beizupflichten, dass die Schlussfolgerungen der Vorinstanz pauschal erfolgt und die Umstände des Einzelfalls nicht berücksichtigt worden seien. Aufgrund des kurzen Zeitraums seit dem letzten Delikt und der Einstellung des Cannabiskonsums erübrigten sich genauere Ausführungen zur Lebensführung des Beschwerdeführers. 8.6. 8.6.1. Aus dem ärztlichen Bericht vom 8. September 2011 geht hervor, dass der Beschwerdeführer seit dem 31. Mai 2009 bei X._______ in Behandlung ist (Kontrollgespräche und Psychotherapie). Die Behandlung wurde somit begonnen, nachdem sich die Fluchtfahrt des Beschwerdeführers ereignet hatte und wurde offenbar - wie die Urinproben - vom Strassenverkehrsamt veranlasst. X._______ geht gemäss dem erwähnten Bericht davon aus, dass eine Wiederholung der vergangenen Vorfälle praktisch ausgeschlossen sei. 8.6.2. Bei der Würdigung der Beweise ist die Behörde keinen Regeln unterworfen, es gilt der Grundsatz der freien Beweiswürdigung (Art. 19 VwVG i.V.m. Art. 40 des Bundesgesetzes über den Bundeszivilprozess vom 4. Dezember 1947 [BZP, SR 273]). Für den Beweiswert eines Arztberichts ist unabhängig von dessen Herkunft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(vgl. BGE 125 V 351 E 3a; vgl. auch Urteil des Bundesverwaltungsgerichts B-1655/2011 vom 13. Oktober 2011 E. 6.1). Der Umstand allein, dass eine ärztliche Stellungnahme von einer Partei eingeholt und in das Verfahren eingebracht wird, rechtfertigt somit keine Zweifel an ihrem Beweiswert. Eine solche Stellungnahme ist dann beweistauglich, wenn sie als schlüssig erscheint, nachvollziehbar begründet sowie in sich widerspruchsfrei ist und keine Indizien gegen ihre Zuverlässigkeit bestehen (vgl. Moser/Beusch/Kneubühler, a.a.O., Rz. 3.148; BGE 125 V 351, E 3b dd und ee; vgl. auch BGE 136 III 161 E. 3.4.2). 8.6.3. Der Arztbericht vom 8. September 2011 genügt den Kriterien der Vollständigkeit, Nachvollziehbarkeit und Schlüssigkeit nicht. Es wird lediglich ausgeführt, der Beschwerdeführer nehme die Kontroll- und Psychotherapiegespräche regelmässig wahr und konsumiere seit Aufnahme der Behandlung auch kein Cannabis. Unter dem Titel "Beurteilung" wird auf wenigen Zeilen erläutert, der Beschwerdeführer sei absolut rehabilitiert und es bestünden aus psychiatrischer Sicht keinerlei Bedenken in irgend einer Hinsicht. Es dürfe davon ausgegangen werden, dass die vergangenen Vorfälle aufgearbeitet und daraus Einsichten gewonnen seien, welche eine Wiederholung praktisch ausschliessen würden. Weiter werden Ausführungen zur positiven beruflichen Situation und den Ausbildungsplänen gemacht (vgl. dazu E 8.5.1 hiervor). Immerhin geht aus dem Bericht zuhanden des Instituts für Rechtsmedizin, welcher bereits vom 28. Dezember 2009 datiert, ergänzend noch hervor, dass "die damals mitverantwortlichen Ursachen" für den Drogenkonsum weggefallen seien. Der Beschwerdeführer habe die sehr belastende Lehrstelle abgeschlossen, der Stress durch die Lehrabschlussprüfung falle weg, er habe eine gute Stelle ausserhalb der bisherigen Umgebung (...) und seine familiären Spannungsprobleme seien ebenfalls gelöst. Es seien "viele alte Verhaltensmuster miteinander bearbeitet" und "neue Verhaltensstrategien zur Bewältigung ähnlicher Stresssituationen erarbeitet" worden. Unter "Diagnose" wird "Cannabismissbrauch ICD 10 F12.1" aufgeführt. Doch ist auch damit nicht ausgeführt, welche vergangenen Vorfälle im Einzelnen aufgearbeitet wurden, welche Einsichten der Beschwerdeführer daraus gewonnen hat, und welche Verhaltensmuster bearbeitet wurden. Insbesondere aber ist nicht nachvollziehbar, weshalb man bereits zum heutigen Zeitpunkt davon ausgehen kann, dass der Beschwerdeführer mit grosser Wahrscheinlichkeit nicht mehr delinquieren werde bzw. ihn ein destabilisierendes Ereignis nicht wieder zum Cannabiskonsum veranlassen könnte. Die entsprechenden Zweifel bleiben nur schon deshalb bestehen, weil gemäss den Arztberichten erstens durchaus Behandlungsbedarf gegeben war (Bearbeiten alter Muster, Erarbeiten neuer Verhaltensstrategien zur Bewältigung ähnlicher Stresssituationen) und zweitens die Kontroll- und Psychotherapiegespräche nach wie vor stattfinden. Die eingereichten Arztberichte vermögen daher am oben gesagten (E 8.5) nichts zu ändern. 8.7. Auch wenn der Cannabiskonsum weniger ins Gewicht fällt, ergibt sich vorliegend insbesondere aufgrund der Sachbeschädigungen und der Fluchtfahrt ein schlechtes Gesamtbild hinsichtlich der Integrität und Vertrauenswürdigkeit des Beschwerdeführers. Es kann davon ausgegangen werden, dass der Beschwerdeführer keine Gewähr dafür bietet, das ihm entgegengebrachte Vertrauen nicht zu missbrauchen. Die Schlussfolgerung der Vorinstanz, dass der Beschwerdeführer die Voraussetzungen für seine Funktion nicht erfülle, erscheint deshalb sachgerecht. Ob alleine der Cannabiskonsum des Beschwerdeführers ausgereicht hätte, um eine negative Risikoverfügung zu rechtfertigen, kann offen bleiben.</w:t>
      </w:r>
    </w:p>
    <w:p>
      <w:r>
        <w:rPr>
          <w:b/>
        </w:rPr>
        <w:t>E. 9</w:t>
      </w:r>
    </w:p>
    <w:p>
      <w:r>
        <w:t>Der Beschwerdeführer rügt schliesslich, die negative Risikoverfügung sei unverhältnismässig. Sollte wider erwarten von einer Abhängigkeitstendenz ausgegangen werden, so der Beschwerdeführer, könne im Sinne einer milderen Massnahme mittels regelmässiger Urintests die Drogenabstinenz sichergestellt werden. Grundsätzlich ist es möglich, eine Risikoverfügung mit einer entsprechenden Auflage zu erlassen (vgl. Urteil der REKO VBS 470.04/05 vom 27. Dezember 2005 E. 7d). Vorliegend ist ein Sicherheitsrisiko aber nicht in erster Linie aufgrund des Cannabiskonsums zu bejahen. Es ist der Vorinstanz daher darin beizupflichten, dass keine mildere Massnahme ersichtlich ist, welche ebenso wie der Erlass der negativen Risikoverfügung zum angestrebten Ziel führen würde, das Risiko eines Schadens sofort und nachhaltig möglichst klein zu halten. Weiter überwiegt das öffentliche Interesse an der Vermeidung eines Sicherheitsrisikos gegenüber dem privaten Interesse des Beschwerdeführers an einer weiteren Ausübung seiner sicherheitsempfindlichen Funktion in der Armee. Dies umso mehr, als der Beschwerdeführer diese Funktion nicht beruflich ausübt und damit nicht in erheblichem Masse auf sie angewiesen ist. Die Verhältnismässigkeit der negativen Risikoverfügung ist daher zu bejahen. 10.1. Die Vorinstanz hat demnach im Dispositiv der angefochtenen Verfügung zu Recht festgehalten, dass der Beschwerdeführer als Sicherheitsrisiko zu erachten sei (Ziff. 1) und ihm kein Zugang zu VERTRAULICH klassifizierten Informationen oder militärischen Anlagen mit Schutzzone 2 gewährt werden dürfe (Ziff. 2). Soweit der Beschwerdeführer die Aufhebung dieser Ziffern bzw. den Erlass einer positiven Risikoverfügung verlangt, ist die Beschwerde abzuweisen. 10.2. Hingegen ist die Beschwerde insoweit gutzuheissen, als die Vorinstanz neben der Risikoeinschätzung bezüglich der Funktion als (...) im Dispositiv noch weitergehende Empfehlungen - wie über die militärische Einteilung und Funktion, die Entziehung der Armeewaffe oder die Weiterausbildung bzw. Beförderung des Beschwerdeführers - verfügungsweise angeordnet hat (Ziff. 3 bis 5 des Dispositivs). Gemäss Art. 21 Abs. 1 aPSPV hat die Fachstelle eine positive Risikoverfügung, eine Risikoverfügung mit Auflagen, eine negative Risikoverfügung oder eine Feststellungsverfügung zu erlassen. Weitergehende Empfehlungen sind nicht vorgesehen und fallen deshalb nicht in die Kompetenz der Vorinstanz (vgl. Urteil des Bundesverwaltungsgerichts A-6275/2010 vom 27. April 2011 E. 12.2). Daran ändert auch die Tatsache nichts, dass am 1. Januar 2011 die revidierte Fassung von Art. 113 des Militärgesetzes vom 3. Februar 1995 (MG, SR 510.10) in Kraft getreten ist. Gemäss Abs. 1 Bst. d dieser Bestimmung kann der Führungsstab der Armee zur Prüfung von Hinderungsgründen für die Überlassung der persönlichen Waffe ohne Zustimmung der zu prüfenden Person die Beurteilung des Gewaltpotentials durch eine Personensicherheitsprüfung verlangen. Gemäss Art. 5 Abs. 2 und 3 der neuen PSPV müssen alle Stellungspflichtigen und können alle Angehörigen der Armee einer solchen Sicherheitsprüfung unterzogen werden. Vorliegende Sicherheitsprüfung wurde jedoch noch vor Inkrafttreten des revidierten Art 113 MG eingeleitet und die Fachstelle hat vom Führungsstab der Armee auch danach nie den Auftrage erhalten, eine Personensicherheitsüberprüfung nach Art. 113 Abs. 1 Bst. d MG durchzuführen. Ferner ist vorliegend noch die aPSPV und nicht die PSPV anwendbar (vgl. E. 4). Es bleibt somit dabei, dass auch Ziff. 4 des Dispositivs betreffend die Entziehung der Armeewaffe aufzuheben ist. Die Beschwerde ist daher teilweise gutzuheissen, und die in den Dispositivziffern 3 bis 5 der angefochtenen Verfügung erfolgten Empfehlungen sind aufzuheben.</w:t>
      </w:r>
    </w:p>
    <w:p>
      <w:r>
        <w:rPr>
          <w:b/>
        </w:rPr>
        <w:t>E. 11.1</w:t>
      </w:r>
    </w:p>
    <w:p>
      <w:r>
        <w:t>Die Verfahrenskosten werden in der Regel der unterliegenden Partei auferlegt. Unterliegt eine Partei nur teilweise, werden die Verfahrenskosten ermässigt (Art. 63 Abs. 1 VwVG). Keine Verfahrenskosten werden Vorinstanzen auferlegt (Art. 63 Abs. 2 VwVG). Da der Beschwerdeführer mit seinem Hauptantrag um Erlass einer positiven Risikoverfügung und mit vorliegendem Entscheid einzig Ziffer 3 bis 5 der angefochtenen Risikoverfügung aufgehoben werden, ist im Kostenpunkt von einem Unterliegen zu 2/3 auszugehen. Dem Beschwerdeführer sind daher reduzierte Verfahrenskosten in der Höhe von Fr. 1'000.- aufzuerlegen. Vom geleisteten Kostenvorschuss von Fr. 1'500.- sind ihm nach Eintritt der Rechtskraft des vorliegenden Urteils Fr. 500.- zurückzuerstatten.</w:t>
      </w:r>
    </w:p>
    <w:p>
      <w:r>
        <w:rPr>
          <w:b/>
        </w:rPr>
        <w:t>E. 11.2</w:t>
      </w:r>
    </w:p>
    <w:p>
      <w:r>
        <w:t>Da der Beschwerdeführer teilweise obsiegt, ist ihm eine Parteientschädigung für ihm erwachsene notwendige und verhältnismässig hohe Kosten zuzusprechen (Art. 64 Abs. 1 VwVG i.V.m. Art. 7 Abs. 1 und 2 des Reglements vom 21. Februar 2008 über die Kosten und Entschädigungen vor dem Bundesverwaltungsgericht [VGKE, SR 173.320.2]). Wird wie vorliegend keine Kostennote eingereicht, so setzt das Gericht die Entschädigung aufgrund der Akten fest (Art. 14 Abs. 2 VGKE). Entsprechend dem teilweisen Obsiegen steht dem Beschwerdeführer eine Parteientschädigung von pauschal Fr. 800.- (inkl. Mehrwertsteuer und Auslagen) zu. Diese ist dem Beschwerdeführer durch die Vorinstanz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