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A-49/2025 vom 20. Mai 2025</w:t>
      </w:r>
    </w:p>
    <w:p>
      <w:r>
        <w:t>Bundesverwaltungsgericht, 2025-05-20, DE</w:t>
      </w:r>
    </w:p>
    <w:p>
      <w:r>
        <w:rPr>
          <w:b/>
        </w:rPr>
        <w:t xml:space="preserve">Quelle: </w:t>
      </w:r>
      <w:r>
        <w:t>https://mcp.opencaselaw.ch/entscheid/bvger_A-49_2025</w:t>
      </w:r>
    </w:p>
    <w:p>
      <w:r>
        <w:t>FR: TAF A-49/2025 du 20 mai 2025</w:t>
      </w:r>
    </w:p>
    <w:p>
      <w:r>
        <w:t>IT: TAF A-49/2025 del 20 maggio 2025</w:t>
      </w:r>
    </w:p>
    <w:p>
      <w:pPr>
        <w:pStyle w:val="Heading2"/>
      </w:pPr>
      <w:r>
        <w:t>Regeste</w:t>
      </w:r>
    </w:p>
    <w:p>
      <w:r>
        <w:t>Amtshilfe</w:t>
      </w:r>
    </w:p>
    <w:p>
      <w:pPr>
        <w:pStyle w:val="Heading2"/>
      </w:pPr>
      <w:r>
        <w:t>Erwägungen</w:t>
      </w:r>
    </w:p>
    <w:p>
      <w:r>
        <w:rPr>
          <w:b/>
        </w:rPr>
        <w:t>E. 1.1</w:t>
      </w:r>
    </w:p>
    <w:p>
      <w:r>
        <w:t>Dem vorliegenden Verfahren liegt ein Amtshilfeersuchen der AEAT gestützt auf das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Der Beschwerdeführer ist als vom Amtshilfeverfahren betroffene Person und Verfügungsadressat gemäss Art. 48 Abs. 1 VwVG in Verbindung mit Art. 19 Abs. 2 StAhiG zur Beschwerde legitimiert. Auf die frist- und formgerecht eingereichte Beschwerde ist folglich einzutreten (vgl. Art. 50 Abs. 1 und Art. 52 Abs. 1 VwVG).</w:t>
      </w:r>
    </w:p>
    <w:p>
      <w:r>
        <w:rPr>
          <w:b/>
        </w:rPr>
        <w:t>E. 1.4</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Die staatsvertragliche Grundlage für die Leistung von Amtshilfe in Steuersachen gegenüber Spanien ist vorliegend Art. 25bis DBA CH-ES sowie die dazugehörigen Protokolle (das Revisionsprotokoll vom 29. Juni 2006 [AS 2007 2199] nachfolgend: Revisionsprotokoll und das Änderungsprotokoll vom 27. Juli 2011 [AS 2013 2367] nachfolgend: Änderungsprotokoll). Die aktuell geltenden Fassungen sind diejenigen gemäss Art. 9 bzw. Art. 12 des Änderungsprotokolls. Das Änderungsprotokoll ist am 24. August 2013 in Kraft getreten und ist gemäss Art.13 Abs. 2 Bst. (iii) auf die Steuerjahre, die am oder nach dem 1. Januar 2010 beginnen, oder auf Steuern, die auf Beträgen geschuldet sind, welche am oder nach dem 1. Januar 2010 gezahlt oder gutgeschrieben werden anwendbar. Da die Untersuchung der spanischen Behörden die Steuerjahre 2019-2020 betrifft, ist somit das Änderungsprotokoll auf den vorliegenden Sachverhalt anwendbar.</w:t>
      </w:r>
    </w:p>
    <w:p>
      <w:r>
        <w:rPr>
          <w:b/>
        </w:rPr>
        <w:t>E. 2.2</w:t>
      </w:r>
    </w:p>
    <w:p>
      <w:r>
        <w:t>Was die formellen Voraussetzungen betrifft, die ein Amtshilfeersuchen erfüllen muss, besteht nach Art. 12 Abs. 2 des Änderungsprotokolls Einvernehmen darüber, dass die Steuerbehörden des ersuchenden Staates bei der Stellung eines Amtshilfebegehrens nach Art. 25bis DBA CH-ES den Steuerbehörden des ersuchten Staates die aufgelisteten Angaben zu liefern haben (Art. 12 Abs. 2 Bst. a - e des Änderungsprotokolls).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und A-3221/2018 vom 6. April 2022 E. 4.2; zur voraussichtlichen Erheblichkeit: nachfolgend E. 3.4). Um eine möglichst umfassende Amtshilfe zu ermöglichen, ist es angebracht, keine zu strengen formellen Anforderungen zu stellen (vgl. auch Urteil des BVGer A-4240/2020 vom 23. November 2022, E. 4.4.4).</w:t>
      </w:r>
    </w:p>
    <w:p>
      <w:r>
        <w:rPr>
          <w:b/>
        </w:rPr>
        <w:t>E. 2.3.1</w:t>
      </w:r>
    </w:p>
    <w:p>
      <w:r>
        <w:t>Art. 25bis Abs. 1 DBA CH-ES bestimmt, dass Informationen ausgetauscht werden, wenn sie zur Durchführung des Abkommens oder zur Anwendung oder Durchsetzung des innerstaatlichen Rechts voraussichtlich erheblich sind.</w:t>
      </w:r>
    </w:p>
    <w:p>
      <w:r>
        <w:rPr>
          <w:b/>
        </w:rPr>
        <w:t>E. 2.3.2</w:t>
      </w:r>
    </w:p>
    <w:p>
      <w:r>
        <w:t>Art. 25bis Abs. 3 DBA CH-ES präzisiert, dass der Zweck der Verweisung auf Informationen, die voraussichtlich erheblich sind, darin besteht,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Absatz 2 dieser Vorschrift sieht zwar wichtige verfahrenstechnische Voraussetzungen für die Vermeidung von «fishing expeditions» vor, seine Buchstaben a - e sind jedoch nicht so auszulegen, dass sie einen wirksamen Informationsaustausch behindern.</w:t>
      </w:r>
    </w:p>
    <w:p>
      <w:r>
        <w:rPr>
          <w:b/>
        </w:rPr>
        <w:t>E. 2.3.3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und A-5107/2020 vom 21. Oktober 2022 E. 5.2.1).</w:t>
      </w:r>
    </w:p>
    <w:p>
      <w:r>
        <w:rPr>
          <w:b/>
        </w:rPr>
        <w:t>E. 2.3.4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und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und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auch: Urteile des BVGer A-840/2022 vom 19. Januar 2023 E. 2.4.4 und A-5107/2020 vom 21. Oktober 2022 E. 5.2.2 f.).</w:t>
      </w:r>
    </w:p>
    <w:p>
      <w:r>
        <w:rPr>
          <w:b/>
        </w:rPr>
        <w:t>E. 2.4</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w:t>
      </w:r>
    </w:p>
    <w:p>
      <w:r>
        <w:rPr>
          <w:b/>
        </w:rPr>
        <w:t>E. 2.5</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Entscheid 2C_393/2023 vom 19. Juli 2023 auf die Beschwerde nicht eingetreten.]).</w:t>
      </w:r>
    </w:p>
    <w:p>
      <w:r>
        <w:rPr>
          <w:b/>
        </w:rPr>
        <w:t>E. 3</w:t>
      </w:r>
    </w:p>
    <w:p>
      <w:r>
        <w:t>Im vorliegenden Fall ist aufgrund der Rechtsbegehren des Beschwerdeführers einzig zu prüfen, ob die beantragten Schwärzungen vorzunehmen sind. Gegen die Amtshilfe an sich wehrt sich der Beschwerdeführer indessen nicht.</w:t>
      </w:r>
    </w:p>
    <w:p>
      <w:r>
        <w:rPr>
          <w:b/>
        </w:rPr>
        <w:t>E. 3.1.1</w:t>
      </w:r>
    </w:p>
    <w:p>
      <w:r>
        <w:t>Der Beschwerdeführer macht in Bezug auf die beantragten Schwärzungen geltend, die Informationen zu Performance, Angaben zu Bonds, strukturierten Produkten sowie Hedge Funds und individuelle Securities Transactions seien nicht vom Ersuchen gedeckt und überdies auch nicht voraussichtlich erheblich. Aus dem Amtshilfeersuchen ergebe sich, dass lediglich eine Vermögensaufstellung per Stichtag (31. Dezember 2019 und 31. Dezember 2020, «statements of assets as at 31/12/2019 and 31/12/2020») sowie Kontoauszüge aus den Jahren 2019 und 2020 («account statements, for years 2019 and 2020») für die jeweiligen Konten verlangt worden seien. Weitere Informationen seien nicht vom Ersuchen gedeckt. Überdies seien diese Daten auch nicht geeignet, die Ansässigkeit des Beschwerdeführers oder seine Einkommens- und Vermögenssituation festzustellen. Aus diesem Grund seien die genannten Informationen zu schwärzen bzw. auszusondern.</w:t>
      </w:r>
    </w:p>
    <w:p>
      <w:r>
        <w:rPr>
          <w:b/>
        </w:rPr>
        <w:t>E. 3.1.2</w:t>
      </w:r>
    </w:p>
    <w:p>
      <w:r>
        <w:t>Die ESTV argumentiert, das Amtshilfeersuchen sei nach Treu und Glauben so auszulegen, dass es dem verfolgten Ziel am besten entspreche. Die ersuchende Behörde habe um das «statement of assets» der Konten ersucht, darunter sei nicht nur Geld zu verstehen. Als «assets» würden auch «equities», «bonds», «structural products» und «Hedge Funds» gelten. Die Informationen seien daher ebenfalls vom Ersuchen umfasst. Die Vermögensaufstellungen der Banken umfassten praxisgemäss gerade auch die Zusammenstellung des Vermögens und dessen Entwicklung. Sodann seien solche Daten der betroffenen Person in einem vorgängigen Parallelverfahren für frühere Jahre auch bereits übermittelt worden. Eine Reduktion der Informationen auf einen Stichtag könne dem im Ersuchen definierten Zweck weniger gut gerecht werden, sodass die Übermittlung im Sinne eines möglichst umfassenden Informationsaustauschs liege. Das Ersuchen umfasse denn auch die Zeitperiode vom 1. Januar 2019 bis 31. Dezember 2020 und nicht lediglich die Stichtage (31. Dezember 2019 und 31. Dezember 2020). Die ersuchende Behörde habe ausdrücklich um Vermögensausweise ersucht und verlange Informationen über «accounts/cards/other financial assets», sodass die Informationen auch ohne Weiteres voraussichtlich erheblich seien.</w:t>
      </w:r>
    </w:p>
    <w:p>
      <w:r>
        <w:rPr>
          <w:b/>
        </w:rPr>
        <w:t>E. 3.1.3</w:t>
      </w:r>
    </w:p>
    <w:p>
      <w:r>
        <w:t>Gemäss der bundesgerichtlichen Rechtsprechung sind Amtshilfeersuchen im Hinblick auf das von der ersuchten Behörde verfolgte Ziel nach Treu und Glauben auszulegen (BGE 147 II 116 E. 5.2). Mit dem Amtshilfeersuchen vom 28. August 2024 ersuchte die spanische Behörde unter anderem um Kontodaten, Kontoauszüge und Vermögensaufstellungen («Statements of assets»). Ziel des Ersuchens ist die Ermittlung der steuerrechtlichen Ansässigkeit des Beschwerdeführers im fraglichen Zeitraum sowie die Gewährleistung seiner korrekten Besteuerung (vgl. Sachverhalt Bst. A.a). Die Übermittlung der Informationen zu Performance, Angaben zu Bonds, strukturierten Produkten sowie Hedge Funds und individuelle Securities Transactions sind somit vom Ersuchen umfasst und auch für die Ermittlung der korrekten Besteuerung - im Falle der Bejahung der steuerrechtlichen Ansässigkeit - voraussichtlich erheblich. Diesbezüglich sind die Anträge des Beschwerdeführers mithin abzuweisen.</w:t>
      </w:r>
    </w:p>
    <w:p>
      <w:r>
        <w:rPr>
          <w:b/>
        </w:rPr>
        <w:t>E. 3.2</w:t>
      </w:r>
    </w:p>
    <w:p>
      <w:r>
        <w:t>Betreffend das Datum auf Seite 112 in Anhang 14, für welches der Beschwerdeführer die Schwärzung beantragt, kann auf das von der Vor-instanz in der Vernehmlassung zu Recht Ausgeführte verwiesen werden. Es geht vorliegend nicht darum, Informationen, die vom 1. Januar 2021 datieren, zu übermitteln, sondern darum, dass in einem Schreiben, welches im ersuchten Zeitraum liegt, dieses Datum genannt wird. Entsprechend ist diese Information vom Ersuchen erfasst. Überwiegende Interessen, die für eine Schwärzung sprechen, sind nicht nachgewiesen. Folglich ist auch dieser Antrag abzuweisen.</w:t>
      </w:r>
    </w:p>
    <w:p>
      <w:r>
        <w:rPr>
          <w:b/>
        </w:rPr>
        <w:t>E. 3.3</w:t>
      </w:r>
    </w:p>
    <w:p>
      <w:r>
        <w:t>Was den Antrag des Beschwerdeführers betrifft, es sei der Name der Ansprechperson bei der Bank zu schwärzen (auf den Seiten 51 und 66 des Anhangs 14), ist Folgendes zu sagen.</w:t>
      </w:r>
    </w:p>
    <w:p>
      <w:r>
        <w:rPr>
          <w:b/>
        </w:rPr>
        <w:t>E. 3.3.1</w:t>
      </w:r>
    </w:p>
    <w:p>
      <w:r>
        <w:t>Auf Rechtsmittel, welche stellvertretend für Dritte bzw. in deren Interesse erhoben werden, ist gemäss bundesgerichtlicher Rechtsprechung nicht einzutreten (BGE 139 II 404 E. 11.1 und 137 IV 134 E. 5.2.2; Urteil des BVGer A-6928/2019 vom 13. Dezember 2021 E. 1.4.3 m.w.H.). Der Schwärzungsantrag «o» betrifft Drittinteressen (jene der Ansprechperson bei der Bank). Auf im Interesse von Dritten gestellte Anträge um Schwärzung von Informationen ist rechtsprechungsgemäss nicht einzutreten (vgl. Urteil des BGer 2C_1037/2019 vom 27. August 2020 E. 6.2 [nicht publiziert in BGE 147 II 116]; BGE 143 II 506 E. 5.1; Urteil des BVGer A-3961/2022 vom 8. April 2024 E. 1.4.2 m.w.H. [das BGer ist mit Entscheid 2C_208/2024 vom 8. Mai 2024 auf die Beschwerde nicht eingetreten]). Vorbehalten bleibt eine Überprüfung dieses Schwärzungsantrags von Amtes wegen unter dem Gesichtspunkt der voraussichtlichen Erheblichkeit.</w:t>
      </w:r>
    </w:p>
    <w:p>
      <w:r>
        <w:rPr>
          <w:b/>
        </w:rPr>
        <w:t>E. 3.3.2</w:t>
      </w:r>
    </w:p>
    <w:p>
      <w:r>
        <w:t>Die Bank oder andere Finanzdienstleister teilen ihren Angestellten die zu betreuenden Kundendossiers in der Regel nach geografischen Kriterien, nach Kundenarten (z.B. Privatkunden oder Unternehmenskunden) und/oder nach den von der Kundschaft erfragten Bankdienstleistungen zu. Es ist daher möglich bzw. sogar zu erwarten, dass der Name der bankintern zuständigen Person in den Kontoinformationen auftaucht. Der Name des oder der Bankangestellten erscheint dann in den Bankunterlagen - ohne besondere Umstände im Einzelfall - tatsächlich als rein zufällig, weshalb er der ersuchenden Behörde nicht zu übermitteln ist (vgl. E. 2.5 vorstehend sowie Urteile des BVGer A-3358/2021 vom 16. März 2022 E. 5.4.2, A-2981/2019 vom 1. September 2020 E. 3.6.2).</w:t>
      </w:r>
    </w:p>
    <w:p>
      <w:r>
        <w:rPr>
          <w:b/>
        </w:rPr>
        <w:t>E. 3.3.3</w:t>
      </w:r>
    </w:p>
    <w:p>
      <w:r>
        <w:t>Im vorliegenden Fall erscheint der Name «B._______» auf den Seiten 51 und 66 in Anhang 14 als Adressat des Kontoauszugs («Billing statement») im Adressfeld der Bank. Auf Seite 59 im Anhang 14 wurde der Name an gleicher Stelle geschwärzt. (act. 12, Anhang 14, S. 51, 59, 66). Es handelt sich jeweils um einen Kontoauszug einer anderen Bank, der an einen Mitarbeiter der Informationsinhaberin verschickt wurde. Aufgrund der Umstände ist davon auszugehen, dass dieser Name rein zufällig in den Unterlagen erscheint und daher auch nicht voraussichtlich erheblich ist. Folglich ist er an den genannten Stellen (Anhang 14, S. 51 und S. 66) zu schwärzen.</w:t>
      </w:r>
    </w:p>
    <w:p>
      <w:r>
        <w:rPr>
          <w:b/>
        </w:rPr>
        <w:t>E. 3.3.4</w:t>
      </w:r>
    </w:p>
    <w:p>
      <w:r>
        <w:t>Der Beschwerdeführer beantragt ferner die Rückweisung der Sache an die Vorinstanz zur Vornahme der Schwärzungen. Anschliessend seien die Dokumente dem Beschwerdeführer zur Kontrolle und Wahrung des rechtlichen Gehörs wieder zuzustellen. Nur so könne sichergestellt werden, dass die Schwärzungen bzw. Aussonderungen korrekt vorgenommen wurden. Eine erneute Gewährung des rechtlichen Gehörs erscheint indessen vorliegend nicht notwendig, zumal die Schwärzungen den Namen des Bankmitarbeiters betreffen und damit ohnehin keine Rechtsverletzung des Beschwerdeführers drohen kann. Der Antrag auf Rückweisung ist entsprechend abzuweisen.</w:t>
      </w:r>
    </w:p>
    <w:p>
      <w:r>
        <w:rPr>
          <w:b/>
        </w:rPr>
        <w:t>E. 3.4</w:t>
      </w:r>
    </w:p>
    <w:p>
      <w:r>
        <w:t>Nach dem Gesagten ist die Beschwerde insoweit (sehr marginal) gutzuheissen, als der Name des zuständigen Bankmitarbeiters in den zur Übermittlung vorgesehenen Beilagen (act. 12, Anhang 14, S. 51 und S. 66) zu schwärzen ist. Im Übrigen ist die Beschwerde abzuweisen, soweit darauf einzutreten ist.</w:t>
      </w:r>
    </w:p>
    <w:p>
      <w:r>
        <w:rPr>
          <w:b/>
        </w:rPr>
        <w:t>E. 4.1</w:t>
      </w:r>
    </w:p>
    <w:p>
      <w:r>
        <w:t>Der Beschwerdeführer obsiegt lediglich marginal, weshalb er die Verfahrenskosten vollumfänglich zu tragen hat (Art. 63 Abs. 1 VwVG). Diese sind auf Fr. 4'000.- festzulegen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