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A-4956/2012 vom 15. Januar 2013</w:t>
      </w:r>
    </w:p>
    <w:p>
      <w:r>
        <w:t>Bundesverwaltungsgericht, 2013-01-15, DE</w:t>
      </w:r>
    </w:p>
    <w:p>
      <w:r>
        <w:rPr>
          <w:b/>
        </w:rPr>
        <w:t xml:space="preserve">Quelle: </w:t>
      </w:r>
      <w:r>
        <w:t>https://mcp.opencaselaw.ch/entscheid/bvger_A-4956_2012</w:t>
      </w:r>
    </w:p>
    <w:p>
      <w:r>
        <w:t>FR: TAF A-4956/2012 du 15 janvier 2013</w:t>
      </w:r>
    </w:p>
    <w:p>
      <w:r>
        <w:t>IT: TAF A-4956/2012 del 15 gennaio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Nachfolgend (E. 1.2) ist zu prüfen, ob eine Ausnahme im Sinn von Art. 32 Abs. 2 Bst. a VGG vorliegt, weil die Verfügung nach einem anderen Bundesgesetz als dem VGG durch Einsprache oder durch Beschwerde an eine Behörde im Sinn von Art. 33 Bst. c-f VGG anfechtbar ist. Die Vorinstanz ist eine Behörde im Sinn von Art. 33 VGG. Das Bundesverwaltungsgericht ist demnach für die Beurteilung der vorliegenden Beschwerde sachlich zuständig, sofern Art. 32 Abs. 2 Bst. a VGG nicht anwendbar ist (vgl. nachfolgend E. 1.2).</w:t>
      </w:r>
    </w:p>
    <w:p>
      <w:r>
        <w:rPr>
          <w:b/>
        </w:rPr>
        <w:t>E. 1.2.1</w:t>
      </w:r>
    </w:p>
    <w:p>
      <w:r>
        <w:t>Zunächst sind die Voraussetzungen einer Sprungbeschwerde gemäss Art. 83 Abs. 4 MWSTG zu prüfen. Diese Bestimmung geht nach Art. 4 VwVG als lex specialis derjenigen nach Art. 47 Abs. 2 VwVG vor. Erweist sich eine Sprungbeschwerde als zulässig, ist zudem Art. 32 Abs. 2 Bst. a VGG nicht einschlägig.</w:t>
      </w:r>
    </w:p>
    <w:p>
      <w:r>
        <w:rPr>
          <w:b/>
        </w:rPr>
        <w:t>E. 1.2.2</w:t>
      </w:r>
    </w:p>
    <w:p>
      <w:r>
        <w:t>Verfügungen der ESTV müssen eine Rechtsmittelbelehrung sowie eine angemessene Begründung enthalten (Art. 82 Abs. 2 MWSTG). Gemäss Art. 83 Abs. 1 MWSTG können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Urteil des Bundesverwaltungsgerichts A 1184/2012 vom 31. Mai 2012 E. 2.3 auch zum Folgenden).</w:t>
      </w:r>
    </w:p>
    <w:p>
      <w:r>
        <w:rPr>
          <w:b/>
        </w:rPr>
        <w:t>E. 1.2.3</w:t>
      </w:r>
    </w:p>
    <w:p>
      <w:r>
        <w:t>Die Zulässigkeit einer Sprungbeschwerde setzt nach dem klaren Gesetzestext voraus, dass kumulativ (i) eine Verfügung der ESTV ergangen ist und (ii) diese einlässlich begründet wurde. Keine Voraussetzung mehr ist hingegen eine Zustimmung der ESTV zur Sprungbeschwerde (vgl. Botschaft des Bundesrats vom 25. Juni 2008 zur Vereinfachung der Mehrwertsteuer, BBl 2008 7006).</w:t>
      </w:r>
    </w:p>
    <w:p>
      <w:r>
        <w:rPr>
          <w:b/>
        </w:rPr>
        <w:t>E. 1.2.4</w:t>
      </w:r>
    </w:p>
    <w:p>
      <w:r>
        <w:t>Vorliegend ist eine Verfügung der ESTV ergangen. Diese ist - zumal für eine Nichteintretensverfügung - einlässlich begründet. Die Eingabe der Beschwerdeführerin ist daher als Sprungbeschwerde entgegenzunehmen. Auf die form- und fristgerecht eingereichte Beschwerde ist somit einzutreten.</w:t>
      </w:r>
    </w:p>
    <w:p>
      <w:r>
        <w:rPr>
          <w:b/>
        </w:rPr>
        <w:t>E. 2.1</w:t>
      </w:r>
    </w:p>
    <w:p>
      <w:r>
        <w:t>Nach der Rechtsprechung des Bundesgerichts ist derjenige, auf dessen Begehren bzw. Rechtsmittel nicht eingetreten worden ist, - nur, aber immerhin - befugt, durch die ordentliche Beschwerdeinstanz überprüfen zu lassen, ob dieser Nichteintretensentscheid zu Recht ergangen ist (anstelle vieler: BGE 124 II 499 E. 1; Urteil des Bundesverwaltungsgerichts A-1805/2012 vom 14. Mai 2012 E. 1.2). Mit anderen Worten kann in einer Beschwerde gegen einen Nichteintretensentscheid nur geltend gemacht werden, die Vorinstanz habe zu Unrecht das Bestehen der Eintretensvoraussetzungen verneint. Entsprechend kann die beschwerdeführende Partei nur die Anhandnahme beantragen, nicht aber die Änderung oder Aufhebung der angefochtenen Verfügung verlangen; auf materielle Begehren ist grundsätzlich nicht einzutreten. Damit wird das Anfechtungsobjekt auf die Eintretensfrage beschränkt, deren Verneinung als Verletzung von Bundesrecht mit Beschwerde gerügt werden kann (BGE 132 V 74 E. 1.1; vgl. Urteile des Bundesverwaltungsgerichts A 1805/2012 vom 14. Mai 2012 E. 1.2 und A 2890/2011 vom 29. Dezember 2011 E. 1.6; André Moser/Michael Beusch/Lorenz Kneubühler, Prozessieren vor dem Bundesverwaltungsgericht, Basel 2008, N. 2.164).</w:t>
      </w:r>
    </w:p>
    <w:p>
      <w:r>
        <w:rPr>
          <w:b/>
        </w:rPr>
        <w:t>E. 2.2.1</w:t>
      </w:r>
    </w:p>
    <w:p>
      <w:r>
        <w:t>In der nachträglichen Verwaltungsrechtspflege (vgl. zum Begriff: Urteil des Bundesverwaltungsgericht A 1247/2010 vom 19. April 2010 E. 1.1 mit Hinweisen) ist Streitgegenstand das Rechtsverhältnis, das Gegenstand der angefochtenen Verfügung bildet, soweit es im Streit liegt. Das in der Verfügung geregelte oder zu regelnde, im Beschwerdeverfahren noch streitige Rechtsverhältnis bildet den Streitgegenstand (René Rhinow/ Heinrich Koller/Christina Kiss/Daniela Thurnherr/Denise Brühl-Moser, Öffentliches Prozessrecht, 2. Aufl., Basel 2010, S. 283 Rz. 987).</w:t>
      </w:r>
    </w:p>
    <w:p>
      <w:r>
        <w:rPr>
          <w:b/>
        </w:rPr>
        <w:t>E. 2.2.2</w:t>
      </w:r>
    </w:p>
    <w:p>
      <w:r>
        <w:t>Art. 54 VwVG hält fest, dass mit der Einreichung der Beschwerde die Behandlung der Sache, die Gegenstand der mit Beschwerde angefochtenen Verfügung bildet, auf die Beschwerdeinstanz übergeht. Damit wird der so genannte Devolutiveffekt begründet, was bedeutet, dass mit der Einlegung eines Rechtsmittels die Streitsache an eine höhere Instanz gebracht wird und diese es nunmehr ist, die über die formelle Zulässigkeit des Rechtsmittels und über die materielle Begründetheit der Rechtsmittelvorbringen zu entscheiden hat (Regina Kiener, in: Auer/Müller/Schind­ler [Hrsg.], Kommentar zum Bundesgesetz über das Verwaltungsverfahren, Zürich/St. Gallen 2008 [nachfolgend: VwVG-Kommentar], Art. 54 N. 2). Vom Umfang her verwirklicht sich der Devolutiveffekt einzig im Rahmen des Streitgegenstandes (zum Streitgegenstand zuvor E. 2.2.1). So ist es sogar möglich, dass die Vorinstanz eine Endverfügung erlässt, wenn eine Zwischenverfügung angefochten wurde, da sich der Devolutiv­effekt allein auf die im Rahmen dieses Anfechtungsobjekts und dieses Streitgegenstandes offenen Fragen erstreckt (Kiener, a.a.O., Art. 54 N. 6).</w:t>
      </w:r>
    </w:p>
    <w:p>
      <w:r>
        <w:rPr>
          <w:b/>
        </w:rPr>
        <w:t>E. 2.2.3</w:t>
      </w:r>
    </w:p>
    <w:p>
      <w:r>
        <w:t>Der Devolutiveffekt wird einzig durch Art. 58 VwVG durchbrochen. Laut dieser Bestimmung hat die Vorinstanz die Möglichkeit, die angefochtene Verfügung bis zu ihrer Vernehmlassung in Wiedererwägung zu ziehen und diese aufgrund neuer Tatsachen oder besserer Erkenntnis im Sinn der beschwerdeführenden Partei abzuändern. In diesem Fall tritt die neue Verfügung anstelle der ursprünglichen, weshalb das Beschwerdeverfahren insoweit als gegenstandslos abzuschreiben ist, als die Vorinstanz den Anträgen der beschwerdeführenden Partei in der neuen Verfügung entsprochen hat (Art. 58 Abs. 3 VwVG; Andrea Pfleiderer, in: Waldmann/Weissenberger [Hrsg.], VwVG - Praxiskommentar zum Bundesgesetz über das Verwaltungsverfahren [nachfolgend: Praxiskommentar], Zürich 2009, Art. 58 N. 48, 52; August Mächler, in: VwVG-Kom­mentar, Art. 58 N. 1; Kiener, a.a.O., Art. 54 N. 18).</w:t>
      </w:r>
    </w:p>
    <w:p>
      <w:r>
        <w:rPr>
          <w:b/>
        </w:rPr>
        <w:t>E. 2.3</w:t>
      </w:r>
    </w:p>
    <w:p>
      <w:r>
        <w:t>Dem Begehren um Erlass einer Feststellungsverfügung ist nur - aber immerhin - zu entsprechen, wenn die Beschwerdeführerin ein entsprechendes schutzwürdiges Interesse nachweist (vgl. Art. 25 Abs. 2 VwVG). Dabei gilt es insbesondere zu berücksichtigen, dass gemäss bundesgerichtlicher Rechtsprechung der Anspruch auf Erlass einer Feststellungsverfügung subsidiär gegenüber rechtsgestaltenden Verfügungen ist (statt vieler: BGE 137 II 199 E. 6.5, 134 III 102 E. 1.1, 133 II 249 E. 1.4.1; BVGE 2010/12 E. 2.3; Isabelle Häner, in: Praxiskommentar, Art. 25 N. 20). Ein schutzwürdiges Interesse an der Behandlung eines Feststellungsbegehrens fehlt, wenn die beschwerdeführende Partei bereits ein (negatives) Leistungsbegehren gestellt hat. Damit kann anhand eines konkreten Falls entschieden werden, ob die festzustellende Tatsache besteht, was das Feststellungsinteresse hinfällig werden lässt (statt vieler: Urteil des Bundesgerichts 2C_508/2010 vom 24. März 2011 E. 1.4; BVGE 2007/24 E. 1.3; Urteile des Bundesverwaltungsgerichts A 1933/2012 vom 20. November 2012 E. 1.2, A 6438/2011 vom 10. Juli 2012 E. 1.1 und A 5115/2011 vom 5. Juli 2012 E. 1.2, mit Hinweisen). Eine spezialgesetzliche Regelung zur Feststellungsverfügung betreffend die Steuerpflicht findet sich in Art. 82 Abs. 1 Bst. f MWSTG. Die Voraussetzungen zu deren Erlass stimmen mit jenen von Art. 25 Abs. 2 VwVG überein (vgl. Felix Geiger, in: Geiger/Schluckebier [Hrsg.], MWSTG, Kommentar, Schweizerisches Bundesgesetz über die Mehrwertsteuer mit den Ausführungserlassen sowie Erlasse zum Zollwesen, Zürich 2012, Art. 82 N. 8).</w:t>
      </w:r>
    </w:p>
    <w:p>
      <w:r>
        <w:rPr>
          <w:b/>
        </w:rPr>
        <w:t>E. 3.1.1</w:t>
      </w:r>
    </w:p>
    <w:p>
      <w:r>
        <w:t>Die ESTV ist auf den Antrag der Beschwerdeführerin, eine Verfügung betreffend die Feststellung der subjektiven Steuerpflicht ab dem 1. Januar 2012 zu erlassen, nicht eingetreten. Die Beschwerdeführerin beantragt daher zu Recht nur die Aufhebung der vorinstanzlichen Verfügung und die Anweisung an die ESTV, einen Feststellungsentscheid zu treffen (oben E. 2.1).</w:t>
      </w:r>
    </w:p>
    <w:p>
      <w:r>
        <w:rPr>
          <w:b/>
        </w:rPr>
        <w:t>E. 3.1.2</w:t>
      </w:r>
    </w:p>
    <w:p>
      <w:r>
        <w:t>Zur Begründung bringt die ESTV einzig vor, sie erachte die Sache als rechtshängig. Zwar erklärt sie in der Vernehmlassung, warum ihrer Auffassung nach der mit Schreiben vom 29. März 2012 gestellte Antrag (Sachverhalt Bst. D) in der Sache abzuweisen gewesen wäre. Auf diese Ausführungen ist jedoch nicht weiter einzugehen, da es vorliegend nicht um die materielle Beurteilung der Frage gehen kann, ob die Beschwerdeführerin im Jahr 2012 der Mehrwertsteuerpflicht unterliegt, sondern einzig zu beurteilen ist, ob die ESTV zu Recht nicht auf den genannten Antrag eintrat (oben E. 2.1). Insbesondere hat die ESTV - trotz ihrer neu vorgebrachten Begründung - keine neue Verfügung erlassen, was sie hätte tun können (oben E. 2.2.3).</w:t>
      </w:r>
    </w:p>
    <w:p>
      <w:r>
        <w:rPr>
          <w:b/>
        </w:rPr>
        <w:t>E. 3.2</w:t>
      </w:r>
    </w:p>
    <w:p>
      <w:r>
        <w:t>Das Bundesgericht hat nun am 21. November 2012 ein Urteil im Verfahren 2C_659/2012 gefällt (Sachverhalt Bst. A.c). Die von der ESTV mit diesem Verfahren begründete Rechtshängigkeit und der damit verbundene Devolutiveffekt fallen somit schon aus diesem Grund weg. Die ESTV wird demnach eine Verfügung in der Sache treffen müssen. Wie nachfolgend zu zeigen ist, war die Steuerpflicht der Beschwerdeführerin für das Jahr 2012 jedoch ohnehin nie vor Bundesverwaltungsgericht oder Bundesgericht rechtshängig. Ausserdem ist nicht ersichtlich, wie das Urteil des Bundesgerichts, welches sich - gleich wie jenes des Bundesverwaltungsgerichts - gar nicht mit der materiellen Frage der subjektiven Steuerpflicht 2012 auseinandersetzte, für die vorliegende Frage präjudizierend sein könnte. Weder das Bundesverwaltungs- noch das Bundesgericht befassten sich also mit der Frage der subjektiven Steuerpflicht der Beschwerdeführerin. Somit kann auch das Urteil des Bundesgerichts (Sachverhalt Bst. A.c) betreffend diese Frage keine Klärung bringen und es ist daher nicht ersichtlich, wie die Vorinstanz nun gestützt auf dieses Urteil einen Entscheid fällen will. Daher rechtfertigt sich die Auseinandersetzung mit der Auffassung der Vorinstanz, die Frage der Steuerpflicht der Beschwerdeführerin sei durch das Verfahren betreffend Löschung der Beschwerdeführerin aus dem Register der mehrwertsteuerpflichtigen Personen tangiert und in diesem Sinn rechtshängig.</w:t>
      </w:r>
    </w:p>
    <w:p>
      <w:r>
        <w:rPr>
          <w:b/>
        </w:rPr>
        <w:t>E. 3.3</w:t>
      </w:r>
    </w:p>
    <w:p>
      <w:r>
        <w:t>Wie oben festgehalten (E. 2.2.2) tritt der Devolutiveffekt nur im Rahmen des Streitgegenstands ein. Streitgegenstand im Verfahren A 1184/2012 vor Bundesverwaltungsgericht war - soweit dies hier noch eine Rolle spielt - die Mehrwertsteuerpflicht der Beschwerdeführerin in den Jahren 2005 bis 2010, wobei das Bundesverwaltungsgericht mangels Zuständigkeit nicht auf die Beschwerde eintrat. Im Verfahren 2C_659/2012 vor Bundesgericht ging es gar nur noch um die Frage, ob die eingereichte Beschwerde vom Bundesverwaltungsgericht als Sprungbeschwerde hätte entgegengenommen werden müssen. Die im vorliegenden Fall relevante Frage der Steuerpflicht im Jahr 2012 war damit nicht Gegenstand des genannten "alten" Verfahrens. Von einer Rechtshängigkeit der vorliegend interessierenden Frage und damit verbunden einem Devolutiveffekt kann somit keine Rede sein. Nur bedingt ist der Vorinstanz sodann inhaltlich zuzustimmen, soweit sie geltend macht, der Ausgang des "alten" Verfahrens könne einen Einfluss auf das nunmehr hängige Verfahren haben. Einerseits war Gegenstand dieses Verfahrens gar nicht die subjektive Steuerpflicht der Beschwerdeführerin, sondern die Frage, ob im konkreten Fall eine Sprungbeschwerde zulässig sei (vgl. oben Bst. A). Andererseits macht die Beschwerdeführerin Änderungen in den Umständen geltend, so dass von einer genau gleichen Ausgangslage ohnehin nicht mehr gesprochen werden kann. Ob unter diesen Umständen die Vorinstanz allenfalls das Verfahren betreffend das Jahr 2012 bis zum Vorliegen eines rechtskräftigen Entscheids über die Löschung der Beschwerdeführerin aus dem Register der mehrwertsteuerpflichtigen Personen für die Jahren 2005 bis 2010 hätte sistieren können, kann hier offengelassen werden, da dies nicht geschehen ist. Da die vorliegend aufgeworfene Frage der Steuerpflicht der Beschwerdeführerin im Jahr 2012 nicht Gegenstand der vor Bundesverwaltungsgericht und Bundesgericht hängig gewesenen Beschwerde war (Verfahrensnummern A 1184/2012 bzw. 2C_659/2012) und die vorliegende Beschwerde bereits aus diesem Grund gutzuheissen ist, muss nicht mehr auf das Argument der Beschwerdeführerin, der Eintrag ins Register der Steuerpflichtigen sei deklaratorischer Natur, eingegangen werden.</w:t>
      </w:r>
    </w:p>
    <w:p>
      <w:r>
        <w:rPr>
          <w:b/>
        </w:rPr>
        <w:t>E. 3.4</w:t>
      </w:r>
    </w:p>
    <w:p>
      <w:r>
        <w:t>Aus prozessökonomischen Gründen rechtfertigen sich hier einige Worte zur Feststellungsverfügung (oben E. 2.3), da die Vorinstanz allenfalls wegen mangelnden Feststellungsinteresses nicht auf den Antrag hätte eintreten können. Die Beschwerdeführerin hatte und hat ein Interesse an der Feststellung ihrer Steuerpflicht. Sie muss wissen, ob sie ihren Kunden die Mehrwertsteuer in Rechnung stellen muss und ob sie ihrerseits zum Vorsteuerabzug berechtigt ist. Im vorliegenden Fall gilt dies umso mehr, als die ESTV - zumindest für die Jahre 2005-2010 - der Meinung ist, die Beschwerdeführerin bilde mehrwertsteuerlich mit deren wichtigster Kundin eine Einheit. Auch für die Kundin sind mit dem bestehenden Zustand Unsicherheiten verbunden. Die ESTV teilte der Beschwerdeführerin nämlich am 13. März 2012 (Sachverhalt Bst. C) mit, sofern ihre rückwirkende Löschung rechtskräftig festgestellt werde, bleibe die ab dem 1. Januar 2011 in Rechnung gestellte Mehrwertsteuer geschuldet, den Abnehmern werde jedoch kein Vorsteuerabzug zugestanden. Zudem blieb die Behauptung der Beschwerdeführerin, sie kalkuliere mit sehr tiefen Margen, weshalb bei ihr die Mehrwertsteuer stark ins Gewicht fallen würde und sie mit einem Verlust abschliessen würde, wenn sie die Mehrwertsteuer nachzahlen müsste, unwidersprochen. Unter diesen Umständen ist der Beschwerdeführerin die Planungsunsicherheit nicht längerfristig zuzumuten. Aus all diesen Gründen ist ein Feststellungsinteresse der Beschwerdeführerin zu bejahen.</w:t>
      </w:r>
    </w:p>
    <w:p>
      <w:r>
        <w:rPr>
          <w:b/>
        </w:rPr>
        <w:t>E. 3.5</w:t>
      </w:r>
    </w:p>
    <w:p>
      <w:r>
        <w:t>Soweit die Beschwerdeführerin beantragt, die ESTV sei anzuweisen, ohne Verzug eine Verfügung zu erlassen, ist darauf nicht weiter einzugehen. Dass die ESTV innert nützlicher Frist tätig werden muss, versteht sich von selbst und wird überdies durch die gesetzlichen Verjährungsfristen begünstigt. Eine Rechtsverzögerung wird zudem nicht explizit geltend gemacht und ist aus den vorhandenen Unterlagen auch nicht ersichtlich. Zwar bedurfte der Erlass einer Verfügung einmal aufgrund der Abwesenheit eines Mitarbeiters, ein anderes Mal wegen Arbeitsüberlastung etwas zusätzlicher Zeit. Dies wurde der Beschwerdeführerin aber regelmässig mitgeteilt. Soweit aus den Unterlagen ersichtlich, wehrte sich diese nicht dagegen. Der Antrag, die ESTV sei explizit anzuweisen, eine Sachverfügung ohne Verzug zu erlassen, ist daher abzuweisen.</w:t>
      </w:r>
    </w:p>
    <w:p>
      <w:r>
        <w:rPr>
          <w:b/>
        </w:rPr>
        <w:t>E. 4</w:t>
      </w:r>
    </w:p>
    <w:p>
      <w:r>
        <w:t>Nach dem Gesagten ist die Beschwerde in Bezug auf die Aufhebung der Verfügung gutzuheissen und die ESTV anzuweisen, auf den Antrag der Beschwerdeführerin einzutreten und eine Verfügung in der Sache zu erlassen. Dagegen ist der Antrag, die ESTV sei anzuweisen, eine Sachverfügung ohne Verzug zu erlassen, abzuweisen. Die Beschwerdeführerin obsiegt nach dem Gesagten weit überwiegend, weshalb es sich rechtfertigt, ihr keine Verfahrenskosten aufzuerlegen (Art. 63 Abs. 1 VwVG). Der Kostenvorschuss ist ihr nach Eintritt der Rechtskraft des vorliegenden Urteils zurückzuerstatten. Der Vorinstanz werden ebenfalls keine Verfahrenskosten auferlegt (Art. 63 Abs. 2 VwVG). Zwar unterliegt die Beschwerdeführerin in Bezug auf ihren Antrag, die Vorinstanz habe ohne Verzug tätig zu werden, doch handelt es sich hierbei um einen untergeordneten Punkt. Zudem wird dieser Antrag nicht gesondert begründet, weshalb der Beschwerdeführerin hier kein unnötiger Aufwand entstanden ist. Ihr ist daher eine Parteientschädigung von Fr. 3'000.-- (inkl. Mehrwertsteuer und Auslagen) zuzusprechen (Art. 64 Abs. 1 VwVG; Art. 7 Abs. 1, Art. 8 ff. sowie Art. 13 f.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