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A-4945/2014 vom 4. März 2015</w:t>
      </w:r>
    </w:p>
    <w:p>
      <w:r>
        <w:t>Bundesverwaltungsgericht, 2015-03-04, DE</w:t>
      </w:r>
    </w:p>
    <w:p>
      <w:r>
        <w:rPr>
          <w:b/>
        </w:rPr>
        <w:t xml:space="preserve">Quelle: </w:t>
      </w:r>
      <w:r>
        <w:t>https://mcp.opencaselaw.ch/entscheid/bvger_A-4945_2014</w:t>
      </w:r>
    </w:p>
    <w:p>
      <w:r>
        <w:t>FR: TAF A-4945/2014 du 4 mars 2015</w:t>
      </w:r>
    </w:p>
    <w:p>
      <w:r>
        <w:t>IT: TAF A-4945/2014 del 4 marzo 2015</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BAZL gehört zu den Behörden nach Art. 33 Bst. d VGG und ist daher eine Vorinstanz des Bundesverwaltungsgerichts.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Adressatin der angefochtenen Verfügung und, entgegen dem Vorbringen der Vorinstanz, auch durch Dispositivziffer 2 der Verfügung beschwert, mit der ihr eine Busse bis Fr. 20'000 im Falle der Widerhandlung angedroht wird. Zudem stellt sich die Frage, ob die Vorinstanz tatsächlich zum Erlass der angefochtenen Verfügung zuständig war (vgl. nachfolgend E. 2 ff.), und, für den Fall, dass sie es nicht war, was die Konsequenzen der Unzuständigkeit des BAZL sind. Der Beschwerdeführerin kommt demnach ein aktuelles, schutzwürdiges Interesse zu. Die Beschwerdelegitimation ist entsprechend zu bejahen.</w:t>
      </w:r>
    </w:p>
    <w:p>
      <w:r>
        <w:rPr>
          <w:b/>
        </w:rPr>
        <w:t>E. 1.3</w:t>
      </w:r>
    </w:p>
    <w:p>
      <w:r>
        <w:t>Soweit die Beschwerdeführerin die Feststellung der Unzuständigkeit der Vorinstanz zum Erlass der angefochtenen Verfügung beantragt, ist Folgendes festzuhalten: Wer ein schutzwürdiges rechtliches oder tatsächliches Interesse nachweist, kann den Erlass einer Feststellungsverfügung verlangen (vgl. Art. 25 Abs. 2 VwVG). Nach der Rechtsprechung des Bundesgerichts ist dem Begehren nur zu entsprechen, wenn der Gesuchsteller an der Beseitigung einer Unklarheit betreffend öffentlichrechtliche Rechte und Pflichten interessiert ist, weil er sonst Gefahr laufen würde, zu seinem Nachteil Massnahmen zu treffen oder zu unterlassen. Dies trifft namentlich dann nicht zu, wenn er seine Interessen ebenso gut mit dem Begehren um Erlass einer Leistungs- oder Gestaltungsverfügung wahren kann (Subsidiarität der Feststellungsverfügung; vgl. statt vieler: Urteil des Bundesgerichts 1C_6/2007 vom 22. August 2007 E. 3.3 mit Hinweisen; zum Ganzen auch Moser/Beusch/Kneubühler, Prozessieren vor dem Bundesverwaltungsgericht, 2. Aufl. 2013, Rz. 2.29 f. mit Hinweisen). Das von der Beschwerdeführerin formulierte Feststellungsbegehren geht gegenständlich nicht über die mittels Gestaltungsbegehren verlangte Aufhebung der angefochtenen Verfügung hinaus, sondern ist vielmehr bereits darin enthalten. Dementsprechend ist auf das Feststellungsbegehren, welches keine eigene Tragweite hat, nicht einzutreten.</w:t>
      </w:r>
    </w:p>
    <w:p>
      <w:r>
        <w:rPr>
          <w:b/>
        </w:rPr>
        <w:t>E. 1.4</w:t>
      </w:r>
    </w:p>
    <w:p>
      <w:r>
        <w:t>Auf die im Übrigen frist- und formgerecht eingereichte Beschwerde (Art. 50 und Art. 52 VwVG) ist daher - mit Ausnahme des in vorstehender Erwägung erwähnten Feststellungsbegehrens - einzutreten.</w:t>
      </w:r>
    </w:p>
    <w:p>
      <w:r>
        <w:rPr>
          <w:b/>
        </w:rPr>
        <w:t>E. 2</w:t>
      </w:r>
    </w:p>
    <w:p>
      <w:r>
        <w:t>Die Beschwerdeführerin bringt vor, dass mit der durch das ESTI bewil­ligten Plangenehmigung bereits eine gültige Bewilligung vorläge und die Vorinstanz gar nicht zum Erlass der angefochtenen Verfügung zuständig gewesen sei. Die Vorinstanz macht dagegen geltend, eine Vereinbarung mit dem ESTI abgeschlossen zu haben, welche ihr für Fälle wie den vor­liegenden die Kompetenz zum Erlass der angefochtenen Verfügung zu­weise. Im Folgenden ist daher abzuklären, welche Behörde im vorliegen­den Fall in sachlicher Hinsicht richtigerweise zuständig ist.</w:t>
      </w:r>
    </w:p>
    <w:p>
      <w:r>
        <w:rPr>
          <w:b/>
        </w:rPr>
        <w:t>E. 2.1</w:t>
      </w:r>
    </w:p>
    <w:p>
      <w:r>
        <w:t>Die Vorinstanz schloss am 1. Oktober 2014, und damit nach Erlass ihrer Verfügung vom 11. August 2014, mit dem ESTI eine Vereinbarung ab, welche die Kompetenzabgrenzung in Sachen luftfahrtrechtliche Sicherheitsauflagen bei Elektrizitätsanlagen betrifft und für bestimmte Fallkonstellationen die jeweilige Zuständigkeit des BAZL resp. des ESTI festhält. Beim ESTI handelt es sich um die Aufsichts- und Kontrollbehörde für elektrische Anlagen, die nicht dem Bundesamt für Verkehr (BAV) unterstehen. Das ESTI wird von Electrosuisse, SEV Verband für Elektro-, Energie- und Informationstechnik, im Auftrag des Bundes als besondere Dienststelle geführt und untersteht der Aufsicht des Eidgenössischen Departements für Umwelt, Verkehr, Energie und Kommunikation (UVEK; vgl. Art. 1 der Verordnung vom 7. Dezember 1992 über das ESTI [SR 734.24]). Die vorliegende Vereinbarung wurde demnach zwischen zwei öffentlich-rechtlichen Organisationen abgeschlossen und ist als solche grundsätzlich zulässig (zu den sog. koordinationsrechtlichen Verträgen vgl. Tschannen/Zimmerli/Müller, Allgemeines Verwaltungsrecht, 4. Aufl. 2014, § 33 Rz. 17; Häfelin/Müller/Uhlmann, Allgemeines Verwaltungsrecht, 6. Aufl. 2010, Rz. 1064). Auch Art. 7 Abs. 2 VwVG schliesst eine Zuständigkeitsvereinbarung zwischen Behörden nicht explizit aus (Tho­mas Flückiger, in: Praxiskommentar VwVG, 2009, Art. 7 N. 56). Jedoch sind hierbei wie bei jedem staatlichen Handeln die Grundsätze des rechtsstaatlichen Handelns nach Art. 5 BV einzuhalten (vgl. Tschannen/Zimmerli/Müller, a.a.O., § 33 Rz. 17); somit ist insbesondere das Legalitätsprinzip zu beachten (Art. 5 Abs. 1 BV). Eine Abweichung von der positivrechtlichen Ordnung auf der Basis einer blossen vertraglichen Verständigung zwischen den betroffenen Behörden erscheint daher als unzulässig (vgl. Flückiger, Praxiskommentar VwVG, Art. 7 N. 56). Im vorliegenden Fall geht es indessen nicht darum, die von der Vorinstanz mit dem ESTI abgeschlossene Vereinbarung als solche zu überprüfen, sondern lediglich darum, die Zulässigkeit der von der Vorinstanz - bereits vor Abschluss der Vereinbarung - für sich beanspruchte Kompetenz zum Erlass der vorliegend angefochtenen Verfügung im Zusammenhang mit einem luftfahrtrechtlichen Hindernis bei einer elektrischen Anlage zu prüfen.</w:t>
      </w:r>
    </w:p>
    <w:p>
      <w:r>
        <w:rPr>
          <w:b/>
        </w:rPr>
        <w:t>E. 2.2</w:t>
      </w:r>
    </w:p>
    <w:p>
      <w:r>
        <w:t>Bei den im Vordergrund stehenden Gesetzesgrundlagen handelt es sich um Art. 16 EleG und Art. 41 LFG. Gemäss Art. 16 Abs. 1 EleG benötigt, wer Starkstromanlagen oder Schwachstromanlagen (nach Art. 4 Abs. 3) erstellen oder ändern will, eine Plangenehmigung. Art. 41 Abs. 1 LFG sieht vor, dass für die Erstellung und für die Änderung eines Luftfahrthindernisses eine Bewilligung des BAZL erforderlich ist. Auf den ersten Blick erscheinen die beiden Bestimmungen insoweit als widersprüchlich, als nach Art. 16 EleG für die Erstellung oder Änderung einer Anlage eine Plangenehmigung erforderlich ist. Diese wird (im hier fraglichen Bereich) gemäss Art. 16 Abs. 2 Bst. a EleG grundsätzlich durch das ESTI erteilt. Gleichzeitig soll aber nach LFG das BAZL für die Bewilligungserteilung zuständig sein, wenn es um Luftfahrthindernisse geht. Wie sogleich zu sehen ist, stellt sich diese Problematik indes einzig, wenn eine nachträgliche luftfahrtrechtliche Bewilligungserteilung in Frage steht (vgl. E. 2.3.4).</w:t>
      </w:r>
    </w:p>
    <w:p>
      <w:r>
        <w:rPr>
          <w:b/>
        </w:rPr>
        <w:t>E. 2.3</w:t>
      </w:r>
    </w:p>
    <w:p>
      <w:r>
        <w:t>Ist die Tragweite einer Bestimmung nicht klar, ist diese mittels Auslegung zu ermitteln. 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Sinn und Zweck, auf die dem Text zu Grunde liegenden Wertungen sowie auf die Bedeutung, die der Norm im Kontext mit anderen Bestimmungen zukommt. Das Bundesgericht lässt sich bei der Auslegung von Erlassen stets von einem Methodenpluralismus leiten und stellt nur dann allein auf das grammatikalische Element ab, wenn sich daraus zweifelsfrei die sachlich richtige Lösung ergibt (vgl. BGE 136 V 216 E. 5.1, 135 II 78 E. 2.2; BVGE 2010/49 E. 9.3.1; Häfelin/Haller/Keller, Schweizerisches Bundesstaatsrecht, 8. Aufl. 2012, Rz. 80, 90 ff.). Eine wichtige Rolle spielt in diesem Zusammenhang auch die Interessenabwägung (Häfelin/Müller/Uhlmann, a.a.O., Rz. 217).</w:t>
      </w:r>
    </w:p>
    <w:p>
      <w:r>
        <w:rPr>
          <w:b/>
        </w:rPr>
        <w:t>E. 2.3.1</w:t>
      </w:r>
    </w:p>
    <w:p>
      <w:r>
        <w:t>Am 1. Januar 2000 wurde das Bundesgesetz vom 18. Juni 1999 über die Koordination und Vereinfachung von Entscheidverfahren (AS 1999 3071; nachfolgend: Koordinationsgesetz) in Kraft gesetzt. Dieses bezweckt im Wesentlichen eine bessere Koordination sowie eine Vereinfachung und Beschleunigung der Bewilligungsverfahren für Bauten und Anlagen, die in die Regelungs- und Bewilligungshoheit des Bundes fallen (Peter Hänni, Planungs-, Bau- und besonderes Umweltschutzrecht, 5. Aufl. 2008, S. 467; vgl. auch Botschaft vom 25. Februar 1998 zum Koordinationsgesetz, BBl 1998 2591, 2593 ff.). Alle erforderlichen Genehmigungen des eidgenössischen wie des kantonalen Rechts sollen in einem Gesamtentscheid erteilt werden, der grundsätzlich im Rahmen des Plangenehmigungsverfahrens erfolgt, in das auch das enteignungsrechtliche Verfahren integriert wird (vgl. ausdrücklich Art. 16h Abs. 1 EleG). Da die Durchführung konzentrierter Entscheidverfahren stets ein hohes Mass an projektspezifischem Fachwissen erfordert, soll die Konzentration der Verfahren bei derjenigen Behörde erfolgen, die für die Durchführung des Hauptverfahrens verantwortlich ist (Leitbehörde; vgl. Botschaft zum Koordinationsgesetz, BBl 1998 2591, 2596).</w:t>
      </w:r>
    </w:p>
    <w:p>
      <w:r>
        <w:rPr>
          <w:b/>
        </w:rPr>
        <w:t>E. 2.3.2</w:t>
      </w:r>
    </w:p>
    <w:p>
      <w:r>
        <w:t>Vorliegend unbestritten ist, dass es sich bei der fraglichen 16 kV-Weitspannleitung um eine plangenehmigungspflichtige Starkstromanlage handelt, die im Jahr 1982 vom ESTI genehmigt wurde. Die Weitspannleitung gilt damit als Anlage im Sinne des EleG.</w:t>
      </w:r>
    </w:p>
    <w:p>
      <w:r>
        <w:rPr>
          <w:b/>
        </w:rPr>
        <w:t>E. 2.3.3</w:t>
      </w:r>
    </w:p>
    <w:p>
      <w:r>
        <w:t>Gemäss Art. 16 Abs. 1 EleG ist für die Erstellung oder Änderung von Stark- und bestimmten Schwachstromanlagen eine Plangenehmigung erforderlich. Dem Wortlaut zufolge wird somit eine Plangenehmigung des ESTI (vgl. Art. 16 Abs. 2 EleG) verlangt, wenn eine Anlage erstellt oder geändert wird. Im vorliegenden Fall handelt es sich um eine bereits bestehende Anlage, bei der es lediglich noch um die Publikation des Luftfahrthindernisses geht. Grammatikalisch gesehen liegt somit offensichtlich kein "Erstellen" einer Anlage vor. Aber auch von einer "Änderung" kann nicht gesprochen werden. Zwar kann gemäss bundesgerichtlicher Rechtsprechung unter Umständen auch dann eine genehmigungspflichtige Änderung (resp. Erstellung) einer Starkstromanlage vorliegen, wenn keine baulichen Änderungen vorgenommen werden, sondern bloss eine Zweckänderung der Anlage in Frage steht. Im Urteil 1C_424/2011 hatte das Bundesgericht den Fall zu beurteilen, in dem eine vertraglich vereinbarte Dienstbarkeit über das Durchleitungsrecht für eine bestehende Stromübertragungsleitung abgelaufen war. Obwohl an der Übertragungsleitung keine baulichen Änderungen vorgesehen waren, entschied das Bundesgericht, die Durchführung eines Plangenehmigungsverfahrens nach Art. 16 ff. EleG sei erforderlich. Es begründete dies damit, dass mit der geplanten zusätzlichen Nutzung der Übertragungsleitung für Telekommunikationsdienste der Zweck der Anlage erweitert werde und sich die planerischen Gegebenheiten seit dem Abschluss des abgelaufenen Dienstbarkeitsvertrags verändert hätten (Urteil des BGer 1C_424/2011 vom 24. Februar 2012 E. 2 ff.; vgl. dagegen Urteil des BGer 1C_333/2012 vom 18. März 2013 E. 2 ff., in dem für eine bestehende Anlage im Nachhinein noch weitere Rechte zu erwerben waren, ohne dass die Anlage geändert worden wäre, und sich das Verfahren daher ausschliesslich nach dem Enteignungsgesetz bestimmte). Vorliegend handelt es sich indessen auch nicht um eine Zweckänderung, sondern bloss um die Publikation einer bestehenden Anlage in der Luftfahrthinderniskarte. Der Umstand, dass weder eine Anlage erstellt noch geändert werden soll, spricht somit nicht für ein Plangenehmigungsverfahren und damit auch nicht für die Unterstellung unter die Genehmigungspflicht des ESTI.</w:t>
      </w:r>
    </w:p>
    <w:p>
      <w:r>
        <w:rPr>
          <w:b/>
        </w:rPr>
        <w:t>E. 2.3.4</w:t>
      </w:r>
    </w:p>
    <w:p>
      <w:r>
        <w:t>Mit dem Koordinationsgesetz sollte, wie gesehen (E. 2.3.1), die Koordination von Verfahren verbessert, und deren Durchführung vereinfacht und beschleunigt werden. Darüber hinaus ermöglicht ein konzentriertes Entscheidverfahren eine Gesamtabwägung aller Vor- und Nachteile eines Projektes in einem einzigen Verfahren und bewirkt, dass mit Erlass eines Gesamtentscheids nur noch ein einziges Rechtsmittel ergriffen werden kann, was wiederum Doppelspurigkeiten oder widersprüchliche Entscheide im Rechtsmittelverfahren vermindert (vgl. Botschaft zum Koordinationsgesetz, BBl 1998 2591, 2596). In diesem Sinne ist auch für Plangenehmigungen nach Elektrizitätsgesetz eine Genehmigungsbehörde, je nach Verfahren das ESTI, das Bundesamt für Energie (BFE) oder die nach der jeweiligen Gesetzgebung zuständige Behörde für Anlagen, die ganz oder überwiegend dem Eisenbahn- oder Trolleybusbetrieb dienen, zuständig (vgl. Art. 16 Abs. 2 EleG) und erlässt einen Gesamtentscheid, mit dem sämtliche nach Bundesrecht erforderlichen Bewilligungen erteilt werden (vgl. Art. 16 Abs. 3 EleG). Wäre somit im vorliegenden Fall eine neue Anlage erstellt oder geändert worden, ist die Situation klar und es bedürfte eines Plangenehmigungsentscheids des ESTI, der sämtliche erforderlichen Bewilligungen, auch der sicherheitstechnischen Aspekte der Luftfahrt, enthält. Das BAZL wäre diesfalls gefordert, sich als Fachbehörde im Rahmen des Plangenehmigungsverfahrens mit zu beteiligen (vgl. Art. 62a Abs. 1 des Regierungs- und Verwaltungsorganisationsgesetzes vom 21. März 1997 [RVOG, SR 172.010]). Im vorliegenden Fall war es - wie die Vorinstanz geltend macht - offenbar fälschlicherweise untergegangen, bei Erlass der ursprünglichen Plangenehmigungsverfügung im Jahr 1982 und in den folgenden Ergänzungen auch die luftfahrtrechtliche Bewilligung einzuholen. Wie in einem solchen Fall, wo nachträglich noch eine Bewilligung eingeholt werden muss, vorzugehen ist, ist im Elektrizitätsgesetz nicht geregelt.</w:t>
      </w:r>
    </w:p>
    <w:p>
      <w:r>
        <w:rPr>
          <w:b/>
        </w:rPr>
        <w:t>E. 2.3.5</w:t>
      </w:r>
    </w:p>
    <w:p>
      <w:r>
        <w:t>Gemäss Art. 41 Abs. 1 LFG ist für die Erstellung und für die Änderung eines Luftfahrthindernisses eine Bewilligung des BAZL erforderlich (vgl. auch Art. 63 VIL). Wie die Botschaft ausführt, soll mit Art. 41 Abs. 1 LFG klargestellt werden, dass die Errichtung eines Luftfahrthindernisses ausschliesslich mit der vorgängigen Erlaubnis durch das BAZL erfolgen darf. Gemäss den Vorgaben des Koordinationsgesetzes werde im Rahmen von Plangenehmigungen nach Art. 37 LFG auch über allfällige Luftfahrthindernisse entschieden. Das gleiche gelte bei Plangenehmigungen nach (u.a.) Art. 16 EleG (Botschaft vom 20. Mai 2009 zur Teilrevision 1 des LFG, BBl 2009 4915, 4940 f. und 4961 f.). Das BAZL entscheidet gemäss Art. 66 Abs. 1 VIL im Einvernehmen mit dem Eidgenössischen Departement für Verteidigung, Bevölkerungsschutz und Sport (VBS) mit Verfügung, ob eine Anlage ein Hindernis darstellt (Bst. a) und ob und gegebenenfalls welche Sicherheitsmassnahmen (z.B. Projektänderung, Publikation, Markierung, Befeuerung) zugunsten der Luftfahrt zu treffen sind (Bst. d). Gestützt hierauf gelangte das BAZL im vorliegenden Fall zum Schluss, dass die Weitspannleitung ein Luftfahrthindernis darstellt - was im Übrigen von der Beschwerdeführerin nicht bestritten wird - und dessen Publikation aus sicherheitstechnischen Aspekten angebracht ist. Wäre dieser Umstand richtigerweise bereits im ursprünglichen Verfahren berücksichtigt worden, hätte sich die Frage der Zuständigkeit - jedenfalls nach Massgabe der geltenden Rechtsvorschriften - nicht gestellt; das ESTI hätte, nach Anhörung des BAZL, auch die luftfahrtrechtliche Bewilligung im Rahmen der Plangenehmigungsverfügung erteilt (siehe bereits E. 2.3.4). Über das Vorgehen und die Zuständigkeit im Falle einer nachträglichen Bewilligung geht dagegen (auch) aus den luftfahrtrechtlichen Bestimmungen nichts hervor.</w:t>
      </w:r>
    </w:p>
    <w:p>
      <w:r>
        <w:rPr>
          <w:b/>
        </w:rPr>
        <w:t>E. 2.3.6</w:t>
      </w:r>
    </w:p>
    <w:p>
      <w:r>
        <w:t>Angesichts der konkreten Umstände des vorliegenden Falls würde es nicht dem Sinn und Zweck des Koordinationsgesetzes (siehe dazu E. 2.3.1 und 2.3.4) entsprechen, zur nachträglichen Einholung der luftfahrtrechtlichen Bewilligung die Durchführung eines Plangenehmigungsverfahrens durch das ESTI zu verlangen. Da gemäss Art. 16 EleG auch keine Änderung einer Starkstromanlage vorliegt, ist es bei dieser Sachlage vielmehr korrekt, dass das BAZL die erforderliche Bewilligung selbständig erteilt. Im Übrigen gilt es zu beachten, dass im hier strittigen Verfahren, aber auch in vergleichbaren Fällen, kein Rechtsnachteil für die Betroffenen entsteht, zumal unabhängig davon, ob das BAZL oder das ESTI verfügen, dasselbe Rechtsmittel an dieselbe Instanz offen steht. Insgesamt sprechen somit nebst dem Gesetzeswortlaut (E. 2.3.3) auch teleologische Aspekte und eine Abwägung der berührten Interessen gegen das Durchführen eines Plangenehmigungsverfahrens resp. der Zuständigkeit des ESTI zum Erlass der hier angefochtenen Bewilligung.</w:t>
      </w:r>
    </w:p>
    <w:p>
      <w:r>
        <w:rPr>
          <w:b/>
        </w:rPr>
        <w:t>E. 2.4</w:t>
      </w:r>
    </w:p>
    <w:p>
      <w:r>
        <w:t>Die Vorinstanz hat die angefochtene Bewilligung demnach zu Recht erlassen.</w:t>
      </w:r>
    </w:p>
    <w:p>
      <w:r>
        <w:rPr>
          <w:b/>
        </w:rPr>
        <w:t>E. 3.1</w:t>
      </w:r>
    </w:p>
    <w:p>
      <w:r>
        <w:t>Die Beschwerdeführerin rügt im Weiteren, die verfügte Auflage 1.1, wonach sie bei Abbruch, Umbau sowie Handänderung der Anlage dies dem BAZL zu melden habe, sei nicht legitim. Sie würde aber jede Änderung dem ESTI als zuständige Behörde melden. Dieses habe als Leitbehörde das Verfahren zu koordinieren und, sofern relevant, dem BAZL Änderungen mitzuteilen.</w:t>
      </w:r>
    </w:p>
    <w:p>
      <w:r>
        <w:rPr>
          <w:b/>
        </w:rPr>
        <w:t>E. 3.2</w:t>
      </w:r>
    </w:p>
    <w:p>
      <w:r>
        <w:t>Gemäss Art. 15 Abs. 2 der Verordnung vom 2. Februar 2000 über das Plangenehmigungsverfahren für elektrische Anlagen (VPeA, SR 734.25) müssen Veränderungen, welche die Sicherheit beeinträchtigen, sowie Änderungen der Beurteilungsgrundlagen, Änderungen der Eigentumsverhältnisse und der Abbruch von Anlagen dem ESTI mitgeteilt werden. Diese Bestimmung ist eindeutig und klar. Die Meldepflicht wird denn im Grundsatz von der Beschwerdeführerin auch nicht gerügt; einzig wehrt sie sich dagegen, die Meldung direkt der Vorinstanz machen zu müssen. Die Vorinstanz stützt ihre Auflage dagegen auf Art. 65 Abs. 1 VIL. Danach hat der Eigentümer eines Luftfahrthindernisses das BAZL über dessen Veräusserung oder Beseitigung direkt zu unterrichten. Gestützt hierauf konnte die Vorinstanz die Auflage jedenfalls in Bezug auf einen Abbruch der Anlage oder eine Handänderung verfügen. Weitergehend, soweit sie auch die Meldungen über den Umbau der Anlage verfügt, besteht dem Wortlaut nach keine gesetzliche Grundlage für eine Meldepflicht an das BAZL. Die Vorinstanz hat somit gestützt auf Art. 65 VIL die Auflage lediglich hinsichtlich Meldungen von Abbruch und Handänderungen der Weitspannleitung zu Recht erlassen. Bei einem Umbau der Anlage besteht demgegenüber keine direkte Meldepflicht an das BAZL; vielmehr gelangen diesfalls die Bestimmungen des Plangenehmigungsverfahrens nach Elektrizitätsgesetz zur Anwendung, und es wären dem ESTI als Leitbehörde die Unterlagen zur Genehmigung des Umbaus zu unterbreiten, welche das BAZL als Fachbehörde für alle luftfahrtrechtlichen Belange zu konsultieren hätte (Art. 16 ff. EleG sowie E. 2.3.4, vgl. auch Art. 15 Abs. 3 VPeA).</w:t>
      </w:r>
    </w:p>
    <w:p>
      <w:r>
        <w:rPr>
          <w:b/>
        </w:rPr>
        <w:t>E. 4</w:t>
      </w:r>
    </w:p>
    <w:p>
      <w:r>
        <w:t>Nach dem Gesagten erweist sich die Beschwerde als teilweise begründet. Die Auflage in Dispositivziffer 1.1 der angefochtenen Verfügung ist insoweit aufzuheben, als die Beschwerdeführerin verpflichtet wird, den Umbau der Anlage dem BAZL zu melden. Weitergehend ist die Beschwerde, soweit darauf einzutreten ist (vgl. E. 1.3), abzuweisen.</w:t>
      </w:r>
    </w:p>
    <w:p>
      <w:r>
        <w:rPr>
          <w:b/>
        </w:rPr>
        <w:t>E. 5.1</w:t>
      </w:r>
    </w:p>
    <w:p>
      <w:r>
        <w:t>Bei diesem Verfahrensausgang gilt die Beschwerdeführerin als im Wesentlichen unterliegend. Sie hat deshalb in Anwendung von Art. 63 Abs. 1 VwVG die auf Fr. 1'500.-- festzusetzenden Verfahrenskosten im Umfang von Fr. 1'250.-- (vgl. Art. 1 ff. des Reglements vom 21. Februar 2008 über die Kosten und Entschädigungen vor dem Bundesverwaltungsgericht [VGKE, SR 173.320.2]) zu tragen. Dieser Betrag wird dem geleisteten Kostenvorschuss von Fr. 1'500.-- entnommen. Der Restbetrag von Fr. 250.-- wird der Beschwerdeführerin zurückerstattet.</w:t>
      </w:r>
    </w:p>
    <w:p>
      <w:r>
        <w:rPr>
          <w:b/>
        </w:rPr>
        <w:t>E. 5.2</w:t>
      </w:r>
    </w:p>
    <w:p>
      <w:r>
        <w:t>Die Vorinstanz hat, obschon sie mehrheitlich obsiegt, keinen Anspruch auf eine Parteientschädigung (Art. 7 Abs. 3 VGKE). Der im Wesentlichen unterliegenden und nicht anwaltlich vertretenen Beschwerdeführerin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