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A-4939/2010 vom 22. Juli 2010</w:t>
      </w:r>
    </w:p>
    <w:p>
      <w:r>
        <w:t>Bundesverwaltungsgericht, 2010-07-22, FR</w:t>
      </w:r>
    </w:p>
    <w:p>
      <w:r>
        <w:rPr>
          <w:b/>
        </w:rPr>
        <w:t xml:space="preserve">Quelle: </w:t>
      </w:r>
      <w:r>
        <w:t>https://mcp.opencaselaw.ch/entscheid/bvger_A-4939_2010</w:t>
      </w:r>
    </w:p>
    <w:p>
      <w:r>
        <w:t>FR: TAF A-4939/2010 du 22 juillet 2010</w:t>
      </w:r>
    </w:p>
    <w:p>
      <w:r>
        <w:t>IT: TAF A-4939/2010 del 22 luglio 2010</w:t>
      </w:r>
    </w:p>
    <w:p>
      <w:pPr>
        <w:pStyle w:val="Heading2"/>
      </w:pPr>
      <w:r>
        <w:t>Regeste</w:t>
      </w:r>
    </w:p>
    <w:p>
      <w:r>
        <w:t>Procédure administrative et procédure du Tribunal administratif fédéral (divers)","Taxe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que, par un arrêt du 19 mars 2009 portant la référence A-1656/2006 à A-1659/2006, le Tribunal administratif fédéral a rejeté les recours respectivement interjetés le 19 octobre 2006 par W._______ SA, X._______ SA, Y._______ SA et Z._______ SA (ci-après: les recourantes) contre les décisions sur réclamation de l'AFC du 18 septembre 2006,</w:t>
      </w:r>
    </w:p>
    <w:p>
      <w:r>
        <w:rPr>
          <w:b/>
        </w:rPr>
        <w:t>E. 2</w:t>
      </w:r>
    </w:p>
    <w:p>
      <w:r>
        <w:t>qu'aux termes de cet arrêt, le Tribunal administratif fédéral a mis à la charge de W._______ SA, X._______ SA, Y._______ SA et Z._______ SA des frais de procédure d'un montant respectif de Fr. 1'500.--, Fr. 2'500.--, Fr. 3'500.-- et Fr. 1'000.--, comprenant l'émolument judiciaire et les débours, et a compensé ces montants avec les avances de frais de procédure respectivement versées à hauteur de Fr. 1'500.--, Fr. 2'500.--, Fr. 3'500.-- et Fr. 1'000.--,</w:t>
      </w:r>
    </w:p>
    <w:p>
      <w:r>
        <w:rPr>
          <w:b/>
        </w:rPr>
        <w:t>E. 3</w:t>
      </w:r>
    </w:p>
    <w:p>
      <w:r>
        <w:t>que le Tribunal administratif fédéral n'a pas octroyé de dépens,</w:t>
      </w:r>
    </w:p>
    <w:p>
      <w:r>
        <w:rPr>
          <w:b/>
        </w:rPr>
        <w:t>E. 4</w:t>
      </w:r>
    </w:p>
    <w:p>
      <w:r>
        <w:t>que les recourantes ont déféré cet arrêt devant le Tribunal fédéral par recours en matière de droit public du 11 mai 2009,</w:t>
      </w:r>
    </w:p>
    <w:p>
      <w:r>
        <w:rPr>
          <w:b/>
        </w:rPr>
        <w:t>E. 5</w:t>
      </w:r>
    </w:p>
    <w:p>
      <w:r>
        <w:t>que, par un arrêt du 28 juin 2010 portant la référence 2C_299/2009, le Tribunal fédéral a admis ce recours dans la mesure où il était recevable et a partiellement annulé l'arrêt du Tribunal administratif fédéral précité, la cause étant renvoyée à l'AFC pour qu'elle rende une nouvelle décision,</w:t>
      </w:r>
    </w:p>
    <w:p>
      <w:r>
        <w:rPr>
          <w:b/>
        </w:rPr>
        <w:t>E. 6</w:t>
      </w:r>
    </w:p>
    <w:p>
      <w:r>
        <w:t>que le Tribunal fédéral a mis les frais judiciaires par Fr. 10'000.-- à la charge de l'AFC et a alloué aux recourantes, créancières solidaires, une indemnité de dépens de Fr. 10'000.--, à verser par l'AFC,</w:t>
      </w:r>
    </w:p>
    <w:p>
      <w:r>
        <w:rPr>
          <w:b/>
        </w:rPr>
        <w:t>E. 7</w:t>
      </w:r>
    </w:p>
    <w:p>
      <w:r>
        <w:t>que le Tribunal fédéral n'a pas fait usage de la possibilité offerte par l'art. 67 de la loi sur le Tribunal fédéral du 17 juin 2005 (LTF, RS 173.110) et a décidé de renvoyer la cause au Tribunal administratif fédéral pour qu'il statue sur les frais et dépens de la procédure accomplie devant lui (cf. arrêt 2C_299/2009 susmentionné consid. 4),</w:t>
      </w:r>
    </w:p>
    <w:p>
      <w:r>
        <w:rPr>
          <w:b/>
        </w:rPr>
        <w:t>E. 8</w:t>
      </w:r>
    </w:p>
    <w:p>
      <w:r>
        <w:t>que l'ensemble des créances fiscales contestées par les recourantes devant l'autorité de céans concernaient des montants d'impôt préalable dont la déduction avait été refusée en application de l'art. 32 al. 1 de l'ordonnance régissant la taxe sur la valeur ajoutée du 22 juin 1994 (OTVA, RO 1994 1464 et les modifications ultérieures) du fait que les ventes de marchandises à terme (« futures ») effectuées par les recourantes ont été considérées comme des opérations exclues du champ de l'impôt au sens de l'art. 14 ch. 15 let. e OTVA,</w:t>
      </w:r>
    </w:p>
    <w:p>
      <w:r>
        <w:rPr>
          <w:b/>
        </w:rPr>
        <w:t>E. 9</w:t>
      </w:r>
    </w:p>
    <w:p>
      <w:r>
        <w:t>que selon l'arrêt du Tribunal fédéral 2C_299/2009 susmentionné (cf. consid. 3.6), il résulte toutefois de la modification de la pratique relative aux opérations servant à la couverture des risques dans les transactions physiques de marchandises, en vigueur depuis le 1er octobre 2009, que les transactions portant sur des « futures » effectuées par les recourantes ne donnent pas lieu à une réduction de la déduction de l'impôt préalable (cf. AFC, Brochure 610.540-14, Finance, Berne 2009, ch. 5.8),</w:t>
      </w:r>
    </w:p>
    <w:p>
      <w:r>
        <w:rPr>
          <w:b/>
        </w:rPr>
        <w:t>E. 10</w:t>
      </w:r>
    </w:p>
    <w:p>
      <w:r>
        <w:t>qu'il apparaît dès lors, sur le plan matériel, qu'aucune créance d'impôt n'est en principe due par les recourantes, de sorte qu'il sied de statuer sur les frais et dépens des procédures A-1656/2006 à A-1659/2006 comme si ces dernières avaient entièrement gain de cause et ce, bien que l'arrêt du Tribunal administratif fédéral n'a été que partiellement annulé,</w:t>
      </w:r>
    </w:p>
    <w:p>
      <w:r>
        <w:rPr>
          <w:b/>
        </w:rPr>
        <w:t>E. 11</w:t>
      </w:r>
    </w:p>
    <w:p>
      <w:r>
        <w:t>qu'en application de l'art. 63 al. 1 et 2 de la loi fédérale sur la procédure administrative du 20 décembre 1968 (PA, RS 172.021), les frais de procédure sont laissés à la charge de l'Etat, les avances de frais versées par chacune des recourantes leur étant respectivemenht restituées dès l'entrée en force du présent arrêt,</w:t>
      </w:r>
    </w:p>
    <w:p>
      <w:r>
        <w:rPr>
          <w:b/>
        </w:rPr>
        <w:t>E. 12</w:t>
      </w:r>
    </w:p>
    <w:p>
      <w:r>
        <w:t>que les recourantes, qui étaient représentées par un avocat, ont en outre droit à une indemnité à titre de dépens, soit pour le remboursement des frais de représentation de leur avocat et pour les débours de celui-ci (art. 64 al. 1 et 2 PA; cf. également art. 7 ss du règlement du 21 février 2008 concernant les frais, dépens et indemnités fixés par le Tribunal administratif fédéral [FITAF, RS 173.320.2]), étant précisé que seules les dépenses occasionnées par-devant l'autorité de céans, à l'exclusion de celles encourues par-devant l'autorité inférieure, peuvent être prises en considération (cf. André Moser/Michael Beusch/Lorenz Kneubühler, Prozessieren vor dem Bundesverwaltungsgericht, Bâle 2008, n° 4.87 et Peter A. Müller-Stoll, in Mwst.com: Kommentar zum Bundesgesetz über die Mehrwertsteuer, Bâle 2000, n° 4 ad art. 68),</w:t>
      </w:r>
    </w:p>
    <w:p>
      <w:r>
        <w:rPr>
          <w:b/>
        </w:rPr>
        <w:t>E. 13</w:t>
      </w:r>
    </w:p>
    <w:p>
      <w:r>
        <w:t>qu'en l'occurrence, dans la mesure où les recourantes n'ont pas produit de décompte des prestations de leur avocat, il y a lieu de fixer les dépens sur la base du dossier (art. 14 al. 2 FITAF),</w:t>
      </w:r>
    </w:p>
    <w:p>
      <w:r>
        <w:rPr>
          <w:b/>
        </w:rPr>
        <w:t>E. 14</w:t>
      </w:r>
    </w:p>
    <w:p>
      <w:r>
        <w:t>que compte tenu du degré de complexité de la cause, du travail effectivement nécessaire et du tarif horaire retenu par le Tribunal de céans (cf. art. 10 al. 1 et 2 FITAF), l'indemnité de dépens allouée aux recourantes, créancières solidaires, est arrêtée à Fr. 10'000.-- (TVA comprise), à charge de l'autorité intimée,</w:t>
      </w:r>
    </w:p>
    <w:p>
      <w:r>
        <w:rPr>
          <w:b/>
        </w:rPr>
        <w:t>E. 15</w:t>
      </w:r>
    </w:p>
    <w:p>
      <w:r>
        <w:t>qu'il n'est ni perçu de frais (art. 6 let. b FITAF) ni alloué de dépens (art. 64 al. 1 PA et art. 7 FITAF a contrario) dans le cadre de la présente procédure,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