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A-4904/2010 vom 11. Januar 2011</w:t>
      </w:r>
    </w:p>
    <w:p>
      <w:r>
        <w:t>Bundesverwaltungsgericht, 2011-01-11, FR</w:t>
      </w:r>
    </w:p>
    <w:p>
      <w:r>
        <w:rPr>
          <w:b/>
        </w:rPr>
        <w:t xml:space="preserve">Quelle: </w:t>
      </w:r>
      <w:r>
        <w:t>https://mcp.opencaselaw.ch/entscheid/bvger_A-4904_2010</w:t>
      </w:r>
    </w:p>
    <w:p>
      <w:r>
        <w:t>FR: TAF A-4904/2010 du 11 janvier 2011</w:t>
      </w:r>
    </w:p>
    <w:p>
      <w:r>
        <w:t>IT: TAF A-4904/2010 del 11 gennaio 2011</w:t>
      </w:r>
    </w:p>
    <w:p>
      <w:pPr>
        <w:pStyle w:val="Heading2"/>
      </w:pPr>
      <w:r>
        <w:t>Regeste</w:t>
      </w:r>
    </w:p>
    <w:p>
      <w:r>
        <w:t>Entraide administrative et judiciaire</w:t>
      </w:r>
    </w:p>
    <w:p>
      <w:pPr>
        <w:pStyle w:val="Heading2"/>
      </w:pPr>
      <w:r>
        <w:t>Erwägungen</w:t>
      </w:r>
    </w:p>
    <w:p>
      <w:r>
        <w:rPr>
          <w:b/>
        </w:rPr>
        <w:t>E. 1.1.1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w:t>
      </w:r>
    </w:p>
    <w:p>
      <w:r>
        <w:rPr>
          <w:b/>
        </w:rPr>
        <w:t>E. 1.1.2</w:t>
      </w:r>
    </w:p>
    <w:p>
      <w:r>
        <w:t>Déposé par une personne qui a qualité pour recourir (cf. art. 48 al. 1 PA) et dans le délai et selon les formes prescrits (cf. art. 50 al. 1 et art. 52 al. 1 PA), le recours est recevable. Il y a dès lors lieu d'entrer en matière.</w:t>
      </w:r>
    </w:p>
    <w:p>
      <w:r>
        <w:rPr>
          <w:b/>
        </w:rPr>
        <w:t>E. 1.2</w:t>
      </w:r>
    </w:p>
    <w:p>
      <w:r>
        <w:t>L'art. 33a al. 1 PA prévoit que la procédure est conduite dans l'une des quatre langues officielles (énoncées à l'art. 70 al. 1 Cst.) et qu'il s'agit, en règle générale, de la langue dans laquelle les parties ont déposé ou déposeraient leurs conclusions. Dans la procédure de recours, la langue est celle de la décision attaquée. Si les parties utilisent une autre langue officielle, celle-ci peut être adoptée (art. 33a al. 2 PA). En l'espèce, la décision entreprise est rédigée en allemand alors que le recourant a procédé en français. L'autorité intimée a déposé sa réponse du 30 septembre 2010 en français et a expressément consenti à ce que la procédure soit menée dans cette langue. Par conséquent, la langue de la présente procédure - plus particulièrement celle du présent arrêt - est le français (cf. arrêt du Tribunal administratif fédéral A-3418/2010 du 8 juillet 2010 consid. 2 et les références citées).</w:t>
      </w:r>
    </w:p>
    <w:p>
      <w:r>
        <w:rPr>
          <w:b/>
        </w:rPr>
        <w:t>E. 2</w:t>
      </w:r>
    </w:p>
    <w:p>
      <w:r>
        <w:t>Le recourant demande que l'effet suspensif soit accordé à son recours. Conformément à l'art. 55 al. 1 PA, l'acte de recours bénéficie de cet effet de par la loi, si bien que cette requête est sans objet. Le Tribunal de céans a au demeurant expressément rappelé - tant dans sa lettre du 8 juillet 2010 que dans sa décision incidente du 25 août 2010 - que l'entraide administrative ne pouvait être accordée et en particulier qu'aucun document ou information bancaire ne pouvait être transmis à des autorités étrangères avant l'entrée en force de l'arrêt définitif et exécutoire qui mettrait fin à la présente procédure.</w:t>
      </w:r>
    </w:p>
    <w:p>
      <w:r>
        <w:rPr>
          <w:b/>
        </w:rPr>
        <w:t>E. 3.1</w:t>
      </w:r>
    </w:p>
    <w:p>
      <w:r>
        <w:t>Le recourant peut invoquer la violation du droit fédéral, y compris l'excès ou l'abus du pouvoir d'appréciation (cf. art. 49 let. a PA), la constatation inexacte ou incomplète des faits pertinents (cf. art. 49 let. b PA) ou l'inopportunité (cf. art. 49 let. c PA; cf. André Moser/Michael Beusch/Lorenz Kneubühler, Prozessieren vor dem Bundesverwaltungsgericht, Bâle 2008,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A-4935/2010 du 11 octobre 2010 consid. 3.1 et A-4936 du 21 septembre 2010 consid. 3.1).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 du Tribunal administratif fédéral E-6525/2009 du 29 juin 2010 consid. 5.2.2 et les références citées).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 du Tribunal administratif fédéral E-6525/2009 du 29 juin 2010 consid. 5.2.2).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A-4935/2010 du 11 octobre 2010 consid. 3.1 et A-4936/2010 du 21 septembre 2010 consid. 3.1).</w:t>
      </w:r>
    </w:p>
    <w:p>
      <w:r>
        <w:rPr>
          <w:b/>
        </w:rPr>
        <w:t>E. 3.2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4</w:t>
      </w:r>
    </w:p>
    <w:p>
      <w:r>
        <w:t>Le recourant considère que la Convention 10 ne serait pas applicable à son cas et invoque une violation du principe de l'interdiction de la rétroactivité. La CDI-US 96 et son protocole seraient déterminants pour juger si l'entraide administrative doit être accordée. N'ayant commis aucune fraude, au sens des textes précités, en omettant simplement de déclarer les avoirs détenus sur son compte auprès d'UBS SA, l'entraide sollicitée par l'IRS devrait être refusée. Le recourant mets par ailleurs en cause les critères établis dans l'annexe à la Convention 10.</w:t>
      </w:r>
    </w:p>
    <w:p>
      <w:r>
        <w:rPr>
          <w:b/>
        </w:rPr>
        <w:t>E. 4.1.1</w:t>
      </w:r>
    </w:p>
    <w:p>
      <w:r>
        <w:t>Le 15 juillet 2010 le Tribunal administratif fédéral a rendu un arrêt dans l'affaire pilote A-4013/2010 portant sur la demande d'entraide administrative des Etats-Unis concernant des contribuables américains, clients d'UBS SA. Dans ce prononcé,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 du Tribunal administratif fédéral A-4876/2010 du 11 octobre 2010 consid. 3.1).</w:t>
      </w:r>
    </w:p>
    <w:p>
      <w:r>
        <w:rPr>
          <w:b/>
        </w:rPr>
        <w:t>E. 4.1.2</w:t>
      </w:r>
    </w:p>
    <w:p>
      <w:r>
        <w:t>Le Tribunal de céans a aussi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A-4013/2010 du 15 juillet 2010 consid. 6.5.2 et A-4876/2010 du 11 octobre 2010 consid. 3.1).</w:t>
      </w:r>
    </w:p>
    <w:p>
      <w:r>
        <w:rPr>
          <w:b/>
        </w:rPr>
        <w:t>E. 4.1.3</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plus spécifiquement les critères relatifs à la domiciliation aux Etats-Unis, à la titularité de comptes non déclarés (non-W9), ainsi qu'au calcul du revenu et de la valeur des compte-titres ou des comptes de dépôt - sont adéquats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auxquels a aboutis l'AFC sont fondées sur des erreurs de calcul (cf. arrêt du Tribunal administratif fédéral A-4013/2010 du 15 juillet 2010 consid. 8.3.3 et les références citées; cf. également arrêt du Tribunal administratif fédéral A-4876/2010 du 11 octobre 2010 consid. 3.1). Le Tribunal administratif fédéral a déjà eu l'occasion (cf. A-4876/2010 du 11 octobre 2010 consid. 3.1; cf. également arrêt du Tribunal administratif fédéral A-6053/2010 du 10 janvier 2011 consid. 2.2 ss) d'affirmer qu'aucun motif ne justifiait de revenir sur la jurisprudence établie dans l'arrêt A-4013/2010 du 15 juillet 2010. Celle-ci est dès lors une nouvelle fois confirmée.</w:t>
      </w:r>
    </w:p>
    <w:p>
      <w:r>
        <w:rPr>
          <w:b/>
        </w:rPr>
        <w:t>E. 4.2</w:t>
      </w:r>
    </w:p>
    <w:p>
      <w:r>
        <w:t>En l'espèce, il y a lieu de constater, à la lumière des arrêts susdits, que les objections suivantes - soulevées directement ou indirectement par le recourant - peuvent sans autre être écartées : l'interdiction de la rétroactivité ainsi que la violation des droits acquis. La Convention 10 est en l'occurrence une base légale suffisante pour accorder l'entraide. Par ailleurs, les parties à la Convention 10 ont voulu qualifier différemment des faits qui se sont déroulés antérieurement à la signature de l'Accord 09, ce qui est communément appelé « effet rétroactif ». Cette volonté d'appliquer dans ce sens l'Accord 09 - devenu la Convention 10 - ressort clairement des critères pour accorder l'entraide fixés dans l'annexe à la Convention 10. Bien que les parties aient précisé, à l'art. 8 de la Convention 10, que cette dernière entrerait en vigueur au moment de sa signature, elles ont voulu cet effet rétroactif. Le grief du recourant, qui prétend que l'Accord 09 ne mentionnerait pas l'exception au principe de non-rétroactivité, est ainsi mal fondé.</w:t>
      </w:r>
    </w:p>
    <w:p>
      <w:r>
        <w:rPr>
          <w:b/>
        </w:rPr>
        <w:t>E. 5</w:t>
      </w:r>
    </w:p>
    <w:p>
      <w:r>
        <w:t>Le recourant conteste la méthode de calcul employée par l'AFC pour déterminer si le seuil de la moyenne annuelle sur trois ans de CHF 100'000.-- était dépassé dans son cas. Il soutient à cet égard que c'est à tort que l'AFC - sans tenir compte du prix d'achat des titres ou produits financiers - n'a pris en considération que le prix de vente des titres pour établir le gain en capital. Le recourant allègue en outre ne pouvoir être considéré comme « US-Person » qu'à compter du 1er janvier 2006, date à laquelle il est devenu résident américain. Il soulève par ailleurs la question du taux de change applicable.</w:t>
      </w:r>
    </w:p>
    <w:p>
      <w:r>
        <w:rPr>
          <w:b/>
        </w:rPr>
        <w:t>E. 5.1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2/A/b sont les suivants : - les clients d'UBS SA, - domiciliés aux Etats-Unis, - qui étaient titulaires directs et ayant droit économiques, - de comptes-titres non déclarés (non-W-9) et de comptes de dépôt d'UBS SA d'une valeur de plus d'un million de francs suisses, pendant une période située entre 2001 et 2008, et - dont il y a de sérieuses raisons de penser qu'ils ont commis de « fraudes ou délits semblables ». La notion de « fraudes ou délits semblables » est définie en ce qui concerne la catégorie 2/A/b comme suit : - (i) le contribuable domicilié aux Etats-Unis n'a pas fourni de formulaire W-9 pendant au moins trois ans (dont un an au moins couvert par la demande d'entraide administrative), et - (ii) le compte détenu auprès d'UBS SA a généré des revenus de plus de 100'000 francs suisse en moyenne par an pour toute période de trois ans comprenant un an au moins couvert par la demande d'entraide administrative. L'analyse prend en compte le revenu brut (intérêts et dividendes) et les gains en capital (équivalant, dans le cadre de la demande d'entraide administrative, à 50%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 La notion de « tax fraud or the like » est définie comme suit : « (i) the US-domiciled taxpayer has failed to provide a Form W-9 for a period of at least 3 years (including at least 1 year covered by the request) and (ii) the UBS account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5.2.1</w:t>
      </w:r>
    </w:p>
    <w:p>
      <w:r>
        <w:t>Dans l'arrêt A-4013/2010 précité, le Tribunal administratif fédéral a admis que l'annexe à la Convention 10 indiquait clairement ce qui devait être considéré comme revenus générés par un compte détenu auprès d'UBS SA. Constituaient des revenus au sens dudit traité les « revenus bruts (intérêts et dividendes) et les gains en capital (équivalant, dans le cadre de la demande d'entraide administrative, à 50% du produit brut des ventes réalisées sur le compte durant la période considérée) » (cf. arrêt du Tribunal administratif fédéral A-4013/2010 du 15 juillet 2010 consid. 8.3.3). Le Tribunal de céans a retenu que - conformément au texte de la Convention 10 - les gains en capital représentaient un élément de la définition des revenus générés par un compte détenu auprès d'UBS SA, revenus qui participaient eux-mêmes à la définition de la notion de « fraudes ou délits semblables ». En conséquence, il ne s'agissait pas de critères réfragables, mais de critères objectifs qui devaient être remplis pour que l'entraide administrative soit accordée. La réalisation desdits critères - qu'il convenait de qualifier comme une présomption légale irréfragale - suffisait à l'octroi de l'entraide administrative. Comme déjà dit (consid. 4.1.3 ci-avant), le Tribunal administratif fédéral a considéré que les personnes visées ne pouvaient s'opposer à l'entraide administrative qu'en prouvant que lesdits critères avaient été appliqués de manière erronée ou en démontrant que les calculs de l'AFC étaient faux. Ainsi, l'argument selon lequel le seuil de la moyenne annuelle de CHF 100'000.-- sur trois ans devait être déterminé en fonction des revenus effectivement générés ne pouvait notamment pas être suivi. Le Tribunal de céans a relevé que la version anglaise de l'annexe à la Convention 10 indiquait expressément s'agissant de la catégorie 2/A/b « revenues are defined as gross income [...] and capital gains (which [...] are calculated as 50% of the gross sales proceeds [...]) ». Il a retenu que cette définition de la notion « revenu » (en anglais : « revenues ») était propre à la Convention 10, qui pouvait sans autre s'écarter de la signification donnée en règle générale au terme en question (cf. arrêt du Tribunal administratif fédéral A-4013/2010 du 15 juillet 2010 consid.8.3.3 et les références citées). Il est par conséquent arrivé à la conclusion que ni les pertes ni les droits de courtage ne pouvaient notamment être portés en déduction du produit des ventes réalisées, la Convention 10 parlant expressément de « produit brut des ventes » (dans la version anglaise de l'annexe à la Convention 10 : « gross sales proceeds »).</w:t>
      </w:r>
    </w:p>
    <w:p>
      <w:r>
        <w:rPr>
          <w:b/>
        </w:rPr>
        <w:t>E. 5.2.2</w:t>
      </w:r>
    </w:p>
    <w:p>
      <w:r>
        <w:t>Aucun motif ne justifie de revenir sur la jurisprudence établie dans l'arrêt A-4013/2010 du 15 juillet 2010, qui est confirmée (cf. arrêt du Tribunal administratif fédéral A-6053/2010 du 10 janvier 2011 consid. 2.2 ss). Il s'ensuit que, contrairement à l'opinion du recourant, c'est à bon droit que l'AFC a calculé les gains en capital en prenant en compte le 50% du produit brut des ventes réalisées durant la période considérée sur le compte détenu par le recourant auprès d'UBS SA. Les griefs du recourant quant au calcul des revenus annuels moyens de CHF 100'000.-- sur trois ans sont dès lors mal fondés.</w:t>
      </w:r>
    </w:p>
    <w:p>
      <w:r>
        <w:rPr>
          <w:b/>
        </w:rPr>
        <w:t>E. 5.3.1</w:t>
      </w:r>
    </w:p>
    <w:p>
      <w:r>
        <w:t>Dans son arrêt précité A-4013/2010 du 15 juillet 2010, le Tribunal administratif fédéral a considéré que l'AFC avait effectué ses calculs sur la base des cours du jour respectivement des cours annuels les plus bas, alors que la Convention 10 était silencieuse quant au mode de conversion d'une monnaie étrangère en francs suisses. Il a estimé que, compte tenu de ce silence, l'AFC était ainsi en principe libre de choisir un facteur de conversion tant que ce dernier n'était pas arbitraire. En jugeant de cette question, il convenait de tenir compte du fait qu'un grand nombre de dossiers devait être traité en peu de temps. Il n'était en tout cas pas arbitraire de tenir compte du cours du jour applicable respectivement des cours annuels les plus bas, ces derniers cours étant en règle générale plus favorables aux personnes concernées. Cette manière de procéder était, au contraire, conforme aux exigences strictes en matière de conversion de monnaies. Elle correspondait par ailleurs aux règles fixées par différentes lois fiscales suisses (cf. Martin Kocher, Fremdwährungsaspekte im schweizerischen Steuerrecht, Bedeutung, Umrechnung und Bewertung fremder Währungen im steuerlichen Einzelabschluss, Archives de droit fiscal suisse 78 p. 457 ss, p. 479 ss). L'AFC avait ainsi procédé de manière correcte lors de la conversion en francs suisses (cf. arrêt du Tribunal administratif fédéral A-4013/2010 du 15 juillet 2010 consid. 8.3.3).</w:t>
      </w:r>
    </w:p>
    <w:p>
      <w:r>
        <w:rPr>
          <w:b/>
        </w:rPr>
        <w:t>E. 5.3.2</w:t>
      </w:r>
    </w:p>
    <w:p>
      <w:r>
        <w:t>Le recourant soulève simplement la question du taux de change, mais ne remet nullement en cause les considérants qui précèdent. Il n'y a dès lors aucune raison de revenir sur la jurisprudence précitée qu'il convient de confirmer.</w:t>
      </w:r>
    </w:p>
    <w:p>
      <w:r>
        <w:rPr>
          <w:b/>
        </w:rPr>
        <w:t>E. 6</w:t>
      </w:r>
    </w:p>
    <w:p>
      <w:r>
        <w:t>Durant la période en cause, le recourant avait son domicile aux Etats-Unis, puisque - comme il l'admet lui-même dans son mémoire de recours - il résidait aux Etats-Unis, à tout le moins, depuis le 1er janvier 2006 (cf. arrêt du Tribunal administratif fédéral A-4013/2010 du 15 juillet 2010 consid. 9.1). Il était titulaire du compte UBS numéro ***. Il remplit ainsi les conditions de la Convention 10 relatives à sa personne, ce qu'il ne conteste au demeurant pas. Le seuil du million de francs suisses a été dépassé le 31 décembre 2001 ainsi que le 30 novembre 2008 selon la décision entreprise. Le recourant ne le conteste pas. Il admet également ne jamais avoir rempli de formulaire W-9. Il semble toutefois remettre en cause la pertinence du choix de ce critère. A ce propos, le Tribunal de céans souligne une fois encore que l'adéquation des conditions relatives à l'octroi de l'entraide administrative définies par la Convention 10 ne saurait être vérifiée. D'après la décision entreprise, des gains en capital d'au moins CHF 360'862.-- ont été réalisés en 2008. Le seuil relatif aux revenus annuels moyens sur trois ans a ainsi été dépassé durant les années 2006 à 2008. Les chiffres fournis par l'autorité inférieure ne sont pas contestés par le recourant, sauf en ce qui concerne le mode de calcul des gains en capital. Or, on vient de voir que la manière dont l'AFC a calculé lesdits gains était conforme au droit (cf. consid. 5.2.1 et 5.2.2 ci-avant). Le recourant ne fait pas non plus valoir que l'autorité inférieure aurait fait des erreurs de calculs ou d'addition. Tous les critères de la catégorie 2/A/b sont ainsi remplis et c'est dès lors à juste titre que l'AFC a décidé d'accorder l'entraide administrative sollicitée.</w:t>
      </w:r>
    </w:p>
    <w:p>
      <w:r>
        <w:rPr>
          <w:b/>
        </w:rPr>
        <w:t>E. 7</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20'000.--, comprenant l'émolument judiciaire et les débours, sont mis à la charge du recourant qui succombe. L'autorité de recours impute, dans le dispositif, l'avance sur les frais de procédure correspondants. Une indemnité à titre de dépens n'est pas allouée au recourant (cf. art. 64 al. 1 PA a contrario, respectivement art. 7 al. 1 FITAF a contrario).</w:t>
      </w:r>
    </w:p>
    <w:p>
      <w:r>
        <w:rPr>
          <w:b/>
        </w:rPr>
        <w:t>E. 8</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