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A-4889/2024 vom 16. September 2025</w:t>
      </w:r>
    </w:p>
    <w:p>
      <w:r>
        <w:t>Bundesverwaltungsgericht, 2025-09-16, FR</w:t>
      </w:r>
    </w:p>
    <w:p>
      <w:r>
        <w:rPr>
          <w:b/>
        </w:rPr>
        <w:t xml:space="preserve">Quelle: </w:t>
      </w:r>
      <w:r>
        <w:t>https://mcp.opencaselaw.ch/entscheid/bvger_A-4889_2024</w:t>
      </w:r>
    </w:p>
    <w:p>
      <w:r>
        <w:t>FR: TAF A-4889/2024 du 16 septembre 2025</w:t>
      </w:r>
    </w:p>
    <w:p>
      <w:r>
        <w:t>IT: TAF A-4889/2024 del 16 settembre 2025</w:t>
      </w:r>
    </w:p>
    <w:p>
      <w:pPr>
        <w:pStyle w:val="Heading2"/>
      </w:pPr>
      <w:r>
        <w:t>Regeste</w:t>
      </w:r>
    </w:p>
    <w:p>
      <w:r>
        <w:t>Assistance administrative</w:t>
      </w:r>
    </w:p>
    <w:p>
      <w:pPr>
        <w:pStyle w:val="Heading2"/>
      </w:pPr>
      <w:r>
        <w:t>Erwägungen</w:t>
      </w:r>
    </w:p>
    <w:p>
      <w:r>
        <w:rPr>
          <w:b/>
        </w:rPr>
        <w:t>E. 9</w:t>
      </w:r>
    </w:p>
    <w:p>
      <w:r>
        <w:t>Au vu des considérants qui précèdent, le Tribunal retient que la décision litigieuse ne satisfait pas pleinement aux exigences de l'assistance administrative en matière fiscale. Le recours est dès lors partiellement admis en ce sens que dans le dispositif de sa décision, l'AFC doit préciser à l'autorité requérante que les renseignements cités au chiffre 2 ne peuvent être utilisés que dans le cadre de procédures relatives à A._______ et qu'ils sont soumis aux restrictions d'utilisation et aux obligations de confidentialité prévues par la Convention (art. 28 par. 2 CDI CH-FR).</w:t>
      </w:r>
    </w:p>
    <w:p>
      <w:r>
        <w:rPr>
          <w:b/>
        </w:rPr>
        <w:t>E. 10</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les recourants ne sont que partiellement déboutés, ces frais sont réduits et arrêtés à 4'000 francs (art. 63 al. 1 PA). Ils seront prélevés sur l'avance de frais de 5'000 francs déjà versée et le solde de 1'000 francs sera restitué aux recourants une fois le présent arrêt entré en force. Aucun frais de procédure n'est mis à la charge de l'autorité inférieure (art. 63 al. 2 PA).</w:t>
      </w:r>
    </w:p>
    <w:p>
      <w:r>
        <w:rPr>
          <w:b/>
        </w:rPr>
        <w:t>E. 11</w:t>
      </w:r>
    </w:p>
    <w:p>
      <w:r>
        <w:t>La partie qui obtient entièrement ou partiellement gain de cause se voit allouer, d'office ou sur requête, des dépens pour les frais nécessaires causés par le litige (art. 64 al. 1 PA et art. 7 ss FITAF). En l'espèce, les recourants ont conclu à l'allocation de dépens et n'ont au surplus pas produit de note d'honoraires (cf. arrêts du TAF A-1538/2018 du 11 septembre 2019 consid. 6.2 ; A-2317/2016 du 21 mars 2017 consid. 4 ; A-4232/2013 du 17 décembre 2013 consid. 8.1). Vu notamment l'issue de la cause (cf. consid. 9 supra), l'autorité inférieure devra verser aux recourants une indemnité de 1'500 francs, à titre de dépens, une fois le présent arrêt entré en force.</w:t>
      </w:r>
    </w:p>
    <w:p>
      <w:r>
        <w:rPr>
          <w:b/>
        </w:rPr>
        <w:t>E. 12</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