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A-4833/2014 vom 16. September 2014</w:t>
      </w:r>
    </w:p>
    <w:p>
      <w:r>
        <w:t>Bundesverwaltungsgericht, 2014-09-16, DE</w:t>
      </w:r>
    </w:p>
    <w:p>
      <w:r>
        <w:rPr>
          <w:b/>
        </w:rPr>
        <w:t xml:space="preserve">Quelle: </w:t>
      </w:r>
      <w:r>
        <w:t>https://mcp.opencaselaw.ch/entscheid/bvger_A-4833_2014</w:t>
      </w:r>
    </w:p>
    <w:p>
      <w:r>
        <w:t>FR: TAF A-4833/2014 du 16 septembre 2014</w:t>
      </w:r>
    </w:p>
    <w:p>
      <w:r>
        <w:t>IT: TAF A-4833/2014 del 16 settembre 2014</w:t>
      </w:r>
    </w:p>
    <w:p>
      <w:pPr>
        <w:pStyle w:val="Heading2"/>
      </w:pPr>
      <w:r>
        <w:t>Regeste</w:t>
      </w:r>
    </w:p>
    <w:p>
      <w:r>
        <w:t>Verfahrenskosten</w:t>
      </w:r>
    </w:p>
    <w:p>
      <w:pPr>
        <w:pStyle w:val="Heading2"/>
      </w:pPr>
      <w:r>
        <w:t>Erwägungen</w:t>
      </w:r>
    </w:p>
    <w:p>
      <w:r>
        <w:rPr>
          <w:b/>
        </w:rPr>
        <w:t>E. 1</w:t>
      </w:r>
    </w:p>
    <w:p>
      <w:r>
        <w:t>Für das Verfahren A-4932/2013 werden keine Verfahrenskosten erhoben.</w:t>
      </w:r>
    </w:p>
    <w:p>
      <w:r>
        <w:rPr>
          <w:b/>
        </w:rPr>
        <w:t>E. 2</w:t>
      </w:r>
    </w:p>
    <w:p>
      <w:r>
        <w:t>Dem Beschwerdeführer wird für das Verfahren A-4932/2013 eine Parteientschädigung von Fr. 1'102.50 (inkl. MwSt. und Auslagen) zugesprochen und der Vorinstanz zur Bezahlung nach Eintritt der Rechtskraft dieses Urteils auferlegt.</w:t>
      </w:r>
    </w:p>
    <w:p>
      <w:r>
        <w:rPr>
          <w:b/>
        </w:rPr>
        <w:t>E. 3</w:t>
      </w:r>
    </w:p>
    <w:p>
      <w:r>
        <w:t>Für das vorliegende Verfahren werden keine Verfahrenskosten erhoben und keine Parteientschädigung zugesprochen.</w:t>
      </w:r>
    </w:p>
    <w:p>
      <w:r>
        <w:rPr>
          <w:b/>
        </w:rPr>
        <w:t>E. 4</w:t>
      </w:r>
    </w:p>
    <w:p>
      <w:r>
        <w:t>Dieses Urteil geht an: - den Beschwerdeführer (Gerichtsurkunde) - die Vorinstanz (Gerichtsurkunde) Der vorsitzende Richter: Die Gerichtsschreiberin: Christoph Bandli Nina Dajcar Rechtsmittelbelehrung: Entscheide des Bundesverwaltungsgerichts auf dem Gebiet der öffentlich-rechtlichen Arbeitsverhältnisse können beim Bundesgericht angefochten werden, sofern es um eine vermögensrechtliche Angelegenheit geht, bei welcher der Streitwert mindestens Fr. 15'000.- beträgt oder bei der sich eine Rechtsfrage von grundsätzlicher Bedeutung stellt (vgl. Art. 85 Abs. 1 Bst. b und Abs. 2 BGG). Bei einer nicht vermögensrechtlichen Angelegenheit ist die Beschwerde nur zulässig, wenn sie die Gleichstellung der Geschlechter betrifft (vgl. Art. 83 Bst. g BGG). Steht die Beschwerde in öffentlich-rechtlichen Angelegenheiten offen, kann sie innert 30 Tagen nach Eröffnung dieses Entscheids beim Bundesgericht, Schweizerhofquai 6, 6004 Luzern, erhoben werden (Art. 82 ff., 90 ff. und 100 BGG). Die Rechtsschrift ist in einer Amtssprache abzufassen und hat die Begehren, deren Begründung mit Angabe der Beweismittel und die Unterschrift zu enthalten. Der angefochtene Entscheid und die Beweismittel sind, soweit sie die beschwerdeführende Partei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