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A-4818/2014 vom 19. Mai 2016</w:t>
      </w:r>
    </w:p>
    <w:p>
      <w:r>
        <w:t>Bundesverwaltungsgericht, 2016-05-19, IT</w:t>
      </w:r>
    </w:p>
    <w:p>
      <w:r>
        <w:rPr>
          <w:b/>
        </w:rPr>
        <w:t xml:space="preserve">Quelle: </w:t>
      </w:r>
      <w:r>
        <w:t>https://mcp.opencaselaw.ch/entscheid/bvger_A-4818_2014</w:t>
      </w:r>
    </w:p>
    <w:p>
      <w:r>
        <w:t>FR: TAF A-4818/2014 du 19 mai 2016</w:t>
      </w:r>
    </w:p>
    <w:p>
      <w:r>
        <w:t>IT: TAF A-4818/2014 del 19 maggio 2016</w:t>
      </w:r>
    </w:p>
    <w:p>
      <w:pPr>
        <w:pStyle w:val="Heading2"/>
      </w:pPr>
      <w:r>
        <w:t>Regeste</w:t>
      </w:r>
    </w:p>
    <w:p>
      <w:r>
        <w:t>Impianti elettrici (altro)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che il Tribunale amministrativo federale giudica i ricorsi contro le decisioni ai sensi dell'art. 5 PA, emanate dalle autorità menzionate all'art. 33 LTAF, riservate le eccezioni di cui all'art. 32 LTAF (cfr. art. 31 LTAF), quali le deci­sioni d'approvazione dei piani concernenti gli impianti elettrici a corrente forte e a corrente debole emanate dall'UFE (cfr. art. 16h cpv. 2 e art. 23 della legge federale del 24 giugno 1902 concernente gli impianti elettrici a corrente forte e a corrente debole [LIE, RS 734.0]); che la procedura dinanzi al Tribunale amministrativo federale è retta dalla PA, in quanto la LTAF non disponga altrimenti (cfr. art. 37 LTAF); che il Tribunale è dunque competente per statuire nella presente vertenza;</w:t>
      </w:r>
    </w:p>
    <w:p>
      <w:r>
        <w:rPr>
          <w:b/>
        </w:rPr>
        <w:t>E. 1.2</w:t>
      </w:r>
    </w:p>
    <w:p>
      <w:r>
        <w:t>che, nella misura in cui il ricorrente è destinatario della decisione impu­gnata e fino al 16 febbraio 2015 - momento della vendita - era proprietario della particella n. (...) RFD del Comune X._______, si deve considerare che al momento dell'inoltro del suo gravame in data 28 agosto 2014 egli disponeva della legittimazione ricorsuale (cfr. art. 48 PA); che il suo ricorso è stato interposto tempestivamente (cfr. art. 20 segg., art. 50 PA), nel rispetto delle esigenze di forma e di contenuto previste dalla legge (cfr. art. 52 PA); che lo stesso - ammesso e concesso che il ricorrente disponga tutt'ora di un interesse al mantenimento del ricorso, circostanza che può rimanere qui aperta - è ricevibile in ordine e deve pertanto essere esaminato nel merito;</w:t>
      </w:r>
    </w:p>
    <w:p>
      <w:r>
        <w:rPr>
          <w:b/>
        </w:rPr>
        <w:t>E. 2</w:t>
      </w:r>
    </w:p>
    <w:p>
      <w:r>
        <w:t>Le spese processuali pari a 500 franchi sono poste a carico del ricorrente. Alla crescita in giudicato del presente giudizio, tale importo verrà interamente dedotto dall'anticipo spese di 500 franchi versato a suo tempo dal ricorrente.</w:t>
      </w:r>
    </w:p>
    <w:p>
      <w:r>
        <w:rPr>
          <w:b/>
        </w:rPr>
        <w:t>E. 3</w:t>
      </w:r>
    </w:p>
    <w:p>
      <w:r>
        <w:t>Non vengono assegnate indennità di ripetibili.</w:t>
      </w:r>
    </w:p>
    <w:p>
      <w:r>
        <w:rPr>
          <w:b/>
        </w:rPr>
        <w:t>E. 4</w:t>
      </w:r>
    </w:p>
    <w:p>
      <w:r>
        <w:t>Comunicazione a: - ricorrente (Atto giudiziario) - controparte (Atto giudiziario) - autorità inferiore (n. di rif. ***; Atto giudiziario) Il presidente del collegio: La cancelliera: Claudia Pasqualetto Péquignot Sara Friedli Rimedi giuridici: Contro la presente decisione può essere interposto ricorso in materia di diritto pubblico al Tribunale federale, 1000 Losanna 14, entro un termine di 30 giorni dalla sua notificazione (art. 82 e segg., 90 e segg. e 100 LTF). Gli atti scritti devono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