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A-4812/2007 vom 17. Juni 2010</w:t>
      </w:r>
    </w:p>
    <w:p>
      <w:r>
        <w:t>Bundesverwaltungsgericht, 2010-06-17, DE</w:t>
      </w:r>
    </w:p>
    <w:p>
      <w:r>
        <w:rPr>
          <w:b/>
        </w:rPr>
        <w:t xml:space="preserve">Quelle: </w:t>
      </w:r>
      <w:r>
        <w:t>https://mcp.opencaselaw.ch/entscheid/bvger_A-4812_2007</w:t>
      </w:r>
    </w:p>
    <w:p>
      <w:r>
        <w:t>FR: TAF A-4812/2007 du 17 juin 2010</w:t>
      </w:r>
    </w:p>
    <w:p>
      <w:r>
        <w:t>IT: TAF A-4812/2007 del 17 giugno 2010</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sind das Zollgesetz vom 18. März 2005 (ZG, SR 631.0) sowie die dazugehörige Verordnung vom 1. November 2006 (ZV, SR 631.01) in Kraft getreten. Zollveranlagungsverfahren, die zu diesem Zeitpunkt hängig waren, werden nach dem bisherigen Recht, d.h. nach dem aZG, und innerhalb der nach diesem gewährten Frist abgeschlossen (Art. 132 Abs. 1 ZG). Die vorliegend in Frage stehenden Einfuhren erfolgten in den Jahren 2001-2003. Es sind deshalb noch die Vorschriften des aZG anwendbar.</w:t>
      </w:r>
    </w:p>
    <w:p>
      <w:r>
        <w:rPr>
          <w:b/>
        </w:rPr>
        <w:t>E. 2.1</w:t>
      </w:r>
    </w:p>
    <w:p>
      <w:r>
        <w:t>Nach Art. 1 aZG hat, wer die Zollgrenze überschreitet oder Waren über die Zollgrenze befördert, die Vorschriften der Zollgesetzgebung zu befolgen. Die Zollpflicht umfasst die Befolgung der Vorschriften für den Verkehr über die Grenze (Zollmeldepflicht) und die Entrichtung der gesetzlichen Abgaben (Zollzahlungspflicht). Der Zollmeldepflicht unterliegt nach Art. 9 Abs. 1 aZG in erster Linie der eigentliche Warenführer, also derjenige, der eine Ware über die Grenze bringt. Im Weiteren aber auch der Auftraggeber (Urteil des Bundesgerichts 2C_388/2007 vom 12. November 2007 E. 4.3). Zollzahlungspflichtig sind nach Art. 13 aZG die in Art. 9 aZG genannten Personen, sowie diejenigen, für deren Rechnung die Waren eingeführt oder ausgeführt worden sind. Der Gesetzgeber hat den Kreis der Zollzahlungspflichtigen somit weit gezogen (Urteil des Bundesgerichts 2C_747/2009 vom 8. April 2010 E. 4.2; Urteile des Bundesverwaltungsgerichts A-2822/2007 vom 27. November 2009 E. 2.2, A-1768/2006 vom 21. Oktober 2009 E. 2.1, A-1751/2006 vom 25. März 2009 E. 3.1.1, A-2631/2007 vom 11. August 2008 E. 2.1, A-1757/2006 vom 21. Juni 2007 E. 2.1; Entscheid der Zollrekurskommission [ZRK] vom 27. September 2002, veröffentlicht in Verwaltungspraxis der Bundesbehörden [VPB] 67.41 E. 2).</w:t>
      </w:r>
    </w:p>
    <w:p>
      <w:r>
        <w:rPr>
          <w:b/>
        </w:rPr>
        <w:t>E. 2.1.1</w:t>
      </w:r>
    </w:p>
    <w:p>
      <w:r>
        <w:t>Auftraggeberin im Sinn von Art. 9 Abs. 1 aZG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(Urteile des Bundesgerichts 2C_747/2009 vom 8. April 2010 E. 4.2, 2A.233/1999 vom 2. Dezember 1999 E. 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(Urteile des Bundesgerichts 2A.602/2003 vom 10. Mai 2004 E. 4.3.2, 2A.417/1999 vom 27. Oktober 1999 E. 3a, mit Hinweisen; Urteil des Bundesverwaltungsgerichts A-762/2007 vom 21. Januar 2009 E. 2.1.1).</w:t>
      </w:r>
    </w:p>
    <w:p>
      <w:r>
        <w:rPr>
          <w:b/>
        </w:rPr>
        <w:t>E. 2.1.2</w:t>
      </w:r>
    </w:p>
    <w:p>
      <w:r>
        <w:t>Mit Urteil vom 8. April 2010 hat das Bundesgericht im Verfahren 2C_747/2009 an seiner Rechtsprechung festgehalten, dass auch die als Organ für eine juristische Person handelnde natürliche Person selber als Auftraggeberin im Sinn von Art. 9 Abs. 1 aZG gilt.</w:t>
      </w:r>
    </w:p>
    <w:p>
      <w:r>
        <w:rPr>
          <w:b/>
        </w:rPr>
        <w:t>E. 2.2.1</w:t>
      </w:r>
    </w:p>
    <w:p>
      <w:r>
        <w:t>Eine Zollübertretung begeht unter anderem, wer dem Bund zum eigenen Vorteil Zölle vorenthält oder sich einen unrechtmässigen Zollvorteil verschafft oder die gesetzmässige Veranlagung gefährdet oder verhindert (Art. 74 Ziff. 16 aZG). Laut Art. 80 Abs. 1 aZG findet der zweite Titel des Bundesgesetzes vom 22. März 1974 über das Verwaltungsstrafrecht (VStrR; SR 313.0) auf Zollwiderhandlungen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115 Ib 360 E. 3a; KURT HAURI, Verwaltungsstrafrecht, Bern 1998, S. 36). Nicht verlangt ist insbesondere eine strafrechtliche Verantwortlichkeit, ein Verschulden (Urteil des Bundesgerichts 2A.603/2003 vom 10. Mai 2004 E. 3.2; BGE 106 Ib 221 E. 2c) oder gar die Einleitung eines Strafverfahrens, vielmehr genügt es, dass der durch die Nichtleistung der Abgabe entstandene unrechtmässige Vorteil seinen Grund in einer Widerhandlung im objektiven Sinn hat (Urteile des Bundesgerichts 2C.132/2009 vom 7. Januar 2010 E. 4.1, 2A.660/2006 vom 8. Juni 2007 E. 6.2, 2A.461/2003 vom 20. Januar 2004 E. 3.1; BGE 129 II 160 E. 3.2).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(Urteile des Bundesgerichts 2A.199/2004 vom 15. November 2004 E. 2.2.1, 2A.233/1999 vom 2. Dezember 1999 E. 3b; BGE 114 Ib 94 E 4a,110 Ib 310 E. 2c).</w:t>
      </w:r>
    </w:p>
    <w:p>
      <w:r>
        <w:rPr>
          <w:b/>
        </w:rPr>
        <w:t>E. 2.2.2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Urteile des Bundesverwaltungsgerichts A-2293/2008 vom 18. Mai 2010 E. 2.3, A-5828/2008 vom 1. April 2010 E. 3.2).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2A.242/2006 vom 2. Februar 2007 E. 2.2, 2A.199/2004 vom 15. November 2004 E. 2.2.1, 2A.603/2003 und 2A.580/2003 vom 10. Mai 2004 E. 3.3.1; Urteile des Bundesverwaltungsgerichts A-1751/2006 vom 25. März 2009 E. 4, A-1741/2006 vom 4. März 2008 E. 2.2.1, A-1726/2006 vom 28. Januar 2008 E. 3.1).</w:t>
      </w:r>
    </w:p>
    <w:p>
      <w:r>
        <w:rPr>
          <w:b/>
        </w:rPr>
        <w:t>E. 2.3.1</w:t>
      </w:r>
    </w:p>
    <w:p>
      <w:r>
        <w:t>Bei der Beweiswürdigung geht es um die Frage, welcher Sachverhalt aufgrund der vorliegenden Beweismittel als erstellt gelten kann. Der Beweis ist erbracht, wenn das Gericht gestützt auf die freie Beweiswürdigung zur Überzeugung gelangt ist, dass sich der rechtserhebliche Sachumstand verwirklicht hat. Absolute Gewissheit kann dabei nicht verlangte werden. Es genügt, wenn das Gericht am Vorliegen der behaupteten Tatsachen keine ernsthaften Zweifel mehr hat oder allenfalls verbleibende Zweifel als leicht erscheinen (BGE 130 III 324 E. 3.2). Die von der eigenen Sachkunde der Richterinnen und Richter oder der Lebenserfahrung und praktischen Vernunft getragene, mit Gründen gestützte Überzeugung kann genügen (Entscheid der ZRK vom 15. November 2005, veröffentlicht in VPB 70.55 E. 2c mit Hinweisen). Nicht ausreichend ist dagegen, wenn bloss eine überwiegende Wahrscheinlichkeit besteht, dass sich die behauptete Tatsache verwirklicht hat (BGE 128 III 271 E. 2b/aa; Urteil des Bundesverwaltungsgerichts A-1883/2007 vom 4. September 2007 E. 2.4; zum Ganzen: MOSER/BEUSCH/KNEUBÜHLER, a.a.O., Rz. 3.140 ff.).</w:t>
      </w:r>
    </w:p>
    <w:p>
      <w:r>
        <w:rPr>
          <w:b/>
        </w:rPr>
        <w:t>E. 2.3.2</w:t>
      </w:r>
    </w:p>
    <w:p>
      <w:r>
        <w:t>Nach Abschluss der Beweiswürdigung steht fest, von welchem Lebenssachverhalt das Bundesverwaltungsgericht bei seiner Urteilsfindung ausgeht. Erst bei Beweislosigkeit kommen die Regeln über die Beweislastverteilung zur Anwendung. Es ist zu Ungunsten desjenigen zu urteilen, der die Beweislast trägt (statt vieler: Urteile des Bundesverwaltungsgerichts A-1469/2006 vom 7. Mai 2008 E. 1.4, A-1373/2006 vom 16. November 2007 E. 2.1, je mit weiteren Hinweisen). Für die Beweislast gilt auch im Bereich des öffentlichen Rechts Art. 8 des Schweizerischen Zivilgesetzbuches vom 10. Dezember 1907 (ZGB, 210) als allgemeiner Rechtsgrundsatz. Demnach hat jene Partei das Vorhandensein einer Tatsache zu beweisen, die aus ihr Rechte ableitet (BGE 133 V 216 E. 5.5). Die Abgabebehörde trägt deshalb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(Urteil des Bundesgerichts vom 14. Juli 2005, veröffentlicht in Archiv für Schweizerisches Abgaberecht [ASA] 75 S. 495 ff. E. 5.4; Urteile des Bundesverwaltungsgerichts A-1578/2006 vom 2. Oktober 2008 E. 5.3, A-1469/2006 vom 7. Mai 2008 E. 1.4, A-1373/2006 vom 16. November 2007 E. 2.1, je mit Hinweisen).</w:t>
      </w:r>
    </w:p>
    <w:p>
      <w:r>
        <w:rPr>
          <w:b/>
        </w:rPr>
        <w:t>E. 3</w:t>
      </w:r>
    </w:p>
    <w:p>
      <w:r>
        <w:t>Im vorliegenden Fall ist unbestritten, dass der Beschwerdeführer, Geschäftsführer der Metzgerei X._______AG, in der Zeit vom 17. November bis 10. Dezember 2003 mit seinem Personenwagen (Mercedes S 600) 1'708,7 kg Fleisch (brutto, inkl. 5% Tara) ohne Zollanmeldung in die Schweiz eingeführt hat. Bestritten ist hingegen, ob er darüber hinaus in der Zeit vom 1. Oktober 2001 bis 30. September 2003 weitere 16'474,7 kg (brutto; 16'487,5 kg gemäss Schlussprotokoll abzüglich 12,8 kg, vgl. Entscheid der OZD vom 11. Juni 2007 E. 13) ohne Zollanmeldung importiert hat, wofür die OZD Fr. 377'044.-- Zoll sowie Fr. 12'813.80 MWST nachforderte.</w:t>
      </w:r>
    </w:p>
    <w:p>
      <w:r>
        <w:rPr>
          <w:b/>
        </w:rPr>
        <w:t>E. 3.1.1</w:t>
      </w:r>
    </w:p>
    <w:p>
      <w:r>
        <w:t>Die OZD legte ihrer Nachforderung insbesondere die Buchhaltungsunterlagen der Metzgerei X._______AG zugrunde, woraus ersichtlich sei, dass diese in der Zeit vom 1. Oktober 2001 bis 30. September 2003 (unter Berücksichtigung der Lagerbestandesänderungen) 16'474,7 kg mehr Fleisch verkauft als eingekauft habe. Nachdem die EZV den Beschwerdeführer erfolglos aufgefordert hatte, allenfalls fehlende Einkaufsbelege nachzureichen, nahm sie selber mit sämtlichen von ihm angegebenen Lieferanten Kontakt auf. Diese bestätigten die verbuchten und belegten Einkäufe gemäss der Buchhaltung der X._______AG. Es liegen demnach keine Hinweise für zusätzliche Einkäufe im Inland vor. Die OZD zieht daraus den Schluss, dass die Differenzmenge somit unrechtmässig aus dem Ausland eingeführt worden sein muss.</w:t>
      </w:r>
    </w:p>
    <w:p>
      <w:r>
        <w:rPr>
          <w:b/>
        </w:rPr>
        <w:t>E. 3.1.2</w:t>
      </w:r>
    </w:p>
    <w:p>
      <w:r>
        <w:t>Das Bundesverwaltungsgericht teilt diese Ansicht aus den nachgenannten Gründen. Zum einen ist die X._______AG verpflichtet eine ordnungsgemässe Buchhaltung zu führen (Art. 957 Abs. 1 OR), andererseits ergab die Ermittlung der EZV bei sämtlichen vom Beschwerdeführer genannten möglichen Lieferanten (...), dass alle Einkäufe im Inland erfasst worden sind. Dagegen bringt der Beschwerdeführer auch keine konkreten Einwände vor. Im Übrigen ist nicht davon auszugehen, dass er die Nennung von möglichen Lieferanten vergessen hätte, da die X._______AG offensichtlich nur wenige aufwies. Zudem sind die Verkäufe unbestrittenermassen korrekt verbucht worden und entsprechende Belege vorhanden. Demnach ist erstellt, dass die Fleischeinkäufe im Inland und die Verkäufe in der Buchhaltung richtig erfasst worden sind. Die Differenz zwischen den eingekauften und verkauften Fleischmengen ist somit nicht die Folge einer fehlerhaften Buchhaltung. Es ist deshalb sehr naheliegend, dass sie sich aus illegalen Einfuhren ergab.</w:t>
      </w:r>
    </w:p>
    <w:p>
      <w:r>
        <w:rPr>
          <w:b/>
        </w:rPr>
        <w:t>E. 3.1.3</w:t>
      </w:r>
    </w:p>
    <w:p>
      <w:r>
        <w:t>Diese Schlussfolgerung erhärtete der Beschwerdeführer selber in seiner Einvernahme vom 12. Dezember 2003. Hinsichtlich der zugegebenen illegalen Fleischeinfuhren (November bis Dezember 2003) legte er dar, dass er zwar die Bezüge jeweils nicht verbuchte, die betreffenden Verkäufe dagegen normal mittels Lieferschein und Rechnung abwickelte und am Monatsende buchhalterisch erfasste (vgl. Einvernahme vom 12. Dezember 2003, act. 5, S. 15). Ein solches Vorgehen musste zwangsläufig zu Differenzen zwischen den eingekauften und verkauften Fleischmengen führen. Für das Bundesverwaltungsgericht ist deshalb erstellt, dass auch die früheren Differenzen (1. Oktober 2001 bis 30. September 2003) aus illegalen Einfuhren stammten. Im Weiteren ist mit der dargelegten Aussage des Beschwerdeführers auch sein Argument widerlegt, dass er bei einem unrechtmässigen Import sicher keine Verkaufsbelege in der Buchhaltung ablegen würde (Beschwerde, Seite 11), hat er doch gerade dies bei der Einvernahme vom 12. Dezember 2003 zugegeben. Die vom Beschwerdeführer dargelegten physischen und psychischen Probleme (Beschwerde, S. 4) vermögen im Übrigen an der Glaubhaftigkeit der betreffenden detaillierten und stringenten Aussagen nichts zu ändern.</w:t>
      </w:r>
    </w:p>
    <w:p>
      <w:r>
        <w:rPr>
          <w:b/>
        </w:rPr>
        <w:t>E. 3.2.1</w:t>
      </w:r>
    </w:p>
    <w:p>
      <w:r>
        <w:t>Der Beschwerdeführer wendet ein, dass die von der EZV im Ausland durchgeführten Nachforschungen alle negativ verlaufen seien. Richtig ist, dass die auf dem Amtshilfeweg vorgenommenen Ermittlungen in Deutschland ergaben, dass er bei der Firma Q._______ (D), keine weiteren Einkäufe getätigt hatte. Entgegen der Ansicht des Beschwerdeführers folgt daraus jedoch nicht, dass er überhaupt keine weiteren unrechtmässigen Einfuhren vorgenommen, sondern bloss, dass er die vorliegend strittige Fleischmenge nicht von der Q._______ bezogen hat. Er hatte somit offensichtlich zumindest noch einen weiteren Verkäufer im Ausland.</w:t>
      </w:r>
    </w:p>
    <w:p>
      <w:r>
        <w:rPr>
          <w:b/>
        </w:rPr>
        <w:t>E. 3.2.2</w:t>
      </w:r>
    </w:p>
    <w:p>
      <w:r>
        <w:t>Zudem macht der Beschwerdeführer geltend, dass bei der behaupteten Menge von ca. 16,5 Tonnen Fleisch mindestens 72 Fahrten notwendig gewesen wären. Es sei sehr unwahrscheinlich, dass jemand so viele Fahrten durchführen könne, ohne angehalten und kontrolliert zu werden. Dieser Einwand ist nicht stichhaltig. Zum einen führte er am 10. Dezember 2003 im Kofferraum sowie in der Reserveradmulde seines Personenwagens insgesamt rund 320 kg Fleisch ein. Bei einer solchen Menge pro Einfuhr resultieren bei 16,5 Tonnen (nur) rund 52 Fahrten bzw. für die Zeit vom 1. Oktober 2001 bis 30. September 2003 ca. 1,5 Fahrten pro Monat. Angesichts der zugestandenen Einfuhren von 1,7 t in der Zeit vom 17. November 2003 bis 10. Dezember 2003, d.h. mindestens 5,3 Fahrten in weniger als einem Monat, erscheint dies mehr als plausibel. Zum anderen ist es nicht ausgeschlossen, dass ein unauffälliger Personenwagen während längerer Zeit nicht kontrolliert wird. Das gilt insbesondere dann, wenn die Grenzübergänge jeweils bei grossem Verkehrsaufkommen (v.a. zu Zeiten des Pendlerverkehrs der Grenzgänger) getätigt werden und - wie beim Fahrzeug des Beschwerdeführers - die grüne Sichtmarke mit der Aufschrift "Nichts zu deklarieren" angebracht ist. Im Übrigen ist offen, ob der Beschwerdeführer die Fahrten selber durchführte oder eine Drittperson - allenfalls mit einem grösseren Fahrzeug - damit beauftragte.</w:t>
      </w:r>
    </w:p>
    <w:p>
      <w:r>
        <w:rPr>
          <w:b/>
        </w:rPr>
        <w:t>E. 3.2.3</w:t>
      </w:r>
    </w:p>
    <w:p>
      <w:r>
        <w:t>Ebenfalls nicht zu hören ist der Einwand des Beschwerdeführers, es sei naheliegend, dass er die erste unrechtmässige Einfuhr nach der Gerichtsverhandlung vom 13. November 2003 getätigt habe, bei der es um die Rechtsöffnung für veranlagte und nicht bezahlte Schulden gegangen sei. Abgesehen davon, dass eine schlechte Finanzlage nicht zwingend zu illegalen Importen führt bzw. auch eine gute finanzielle Situation solche nicht ausschliesst, ist das Argument des Beschwerdeführers angesichts der vorhandenen Buchhaltungsunterlagen der X._______AG von vornherein nicht zu hören. Diese erzielte im Geschäftsjahr 1999/2000 (Okt. 1999 bis Sept. 2000) einen Verlust von Fr. 120'976.-- und im 2000/2001 einen solchen von Fr. 439'404.84. Im Weiteren hielt die Treuhandfirma der X._______AG in einer Notiz vom 19. August 2001 zu einer Besprechung mit der Bank (...) vom 17. August 2001 u.a. folgendes fest: "A._______ wird die X._______AG liquidieren. Dem Personal wird auf Ende November 2001 gekündigt. Bis alle Aktiven verkauft sind und das Warenlager aufgelöst ist, rechnet A._______ mit einem Zeitraum bis Ende März 2002. Da A._______ auch inskünftig in der Branche als Aussendienstmitarbeiter für die Metzgerei (...) tätig sein wird und seinen Kundenstamm einbringen will, wäre ein Konkurs der X._______AG für ihn katastrophal. Ein Konkurs der X._______AG soll also mit allen Mitteln verhindert werden" (vgl. act. 10). Eine schwierige finanzielle Lage war somit offensichtlich spätestens Mitte 2001 und nicht erst im November 2003 gegeben.</w:t>
      </w:r>
    </w:p>
    <w:p>
      <w:r>
        <w:rPr>
          <w:b/>
        </w:rPr>
        <w:t>E. 3.3</w:t>
      </w:r>
    </w:p>
    <w:p>
      <w:r>
        <w:t>Die Beweiswürdigung ergibt somit entgegen der Auffassung des Beschwerdeführers, dass die Differenz in der Buchhaltung zwischen den eingekauften und verkauften Fleischmengen aus unrechtmässigen Einfuhren resultierte. Das Bundesverwaltungsgericht hat keine ernsthaften Zweifel - absolute Gewissheit kann nicht verlangt werden (E. 2.3.1) - am Vorliegen dieses Sachumstandes. Er gilt demnach als erstellt. In der Folge kommen die Regeln über die Beweislastverteilung gar nicht zur Anwendung (E. 2.3.2). Der Einwand des Beschwerdeführers, dass diese Regeln verletzt worden seien, ist somit von Vornherein unbegründet. Offen bleiben kann, ob der Beschwerdeführer das Fleisch selber, d.h. als Warenführer, über die Grenze brachte oder es in seinem Auftrag eingeführt wurde. Er gehört in jedem Fall zum Kreis der Zollzahlungspflichtigen (E. 2.1 und 2.1.1). Seine Nachleistungspflicht gemäss Art. 12 Abs. 2 VStrR ist deshalb zu bejahen (E. 2.2.2). Er hat Fr. 377'044.- Zoll und Fr. 12'813.80 MWST zu entrichten.</w:t>
      </w:r>
    </w:p>
    <w:p>
      <w:r>
        <w:rPr>
          <w:b/>
        </w:rPr>
        <w:t>E. 3.4</w:t>
      </w:r>
    </w:p>
    <w:p>
      <w:r>
        <w:t>Dem in E. 2.1.2 Gesagten zufolge könnte sich der Beschwerdeführer auch nicht mit Erfolg darauf berufen, er habe lediglich in seiner Eigenschaft als Geschäftsführer der Metzgerei X._______AG gehandelt, denn die für eine juristische Person handelnde natürliche Person gilt selber als Auftraggeberin.</w:t>
      </w:r>
    </w:p>
    <w:p>
      <w:r>
        <w:rPr>
          <w:b/>
        </w:rPr>
        <w:t>E. 4</w:t>
      </w:r>
    </w:p>
    <w:p>
      <w:r>
        <w:t>Dem Gesagten zufolge ist die Beschwerde abzuweisen. Bei diesem Verfahrensausgang sind dem Beschwerdeführer als unterliegende Partei sämtliche Kosten für das Beschwerdeverfahren vor dem Bundesverwaltungsgericht aufzuerlegen (vgl. Art. 63 Abs. 1 VwVG). Die Verfahrenskosten werden auf Fr. 3'000.-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