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A-4706/2022 vom 7. Mai 2024</w:t>
      </w:r>
    </w:p>
    <w:p>
      <w:r>
        <w:t>Bundesverwaltungsgericht, 2024-05-07, DE</w:t>
      </w:r>
    </w:p>
    <w:p>
      <w:r>
        <w:rPr>
          <w:b/>
        </w:rPr>
        <w:t xml:space="preserve">Quelle: </w:t>
      </w:r>
      <w:r>
        <w:t>https://mcp.opencaselaw.ch/entscheid/bvger_A-4706_2022</w:t>
      </w:r>
    </w:p>
    <w:p>
      <w:r>
        <w:t>FR: TAF A-4706/2022 du 7 mai 2024</w:t>
      </w:r>
    </w:p>
    <w:p>
      <w:r>
        <w:t>IT: TAF A-4706/2022 del 7 maggio 2024</w:t>
      </w:r>
    </w:p>
    <w:p>
      <w:pPr>
        <w:pStyle w:val="Heading2"/>
      </w:pPr>
      <w:r>
        <w:t>Regeste</w:t>
      </w:r>
    </w:p>
    <w:p>
      <w:r>
        <w:t>Enteignung</w:t>
      </w:r>
    </w:p>
    <w:p>
      <w:pPr>
        <w:pStyle w:val="Heading2"/>
      </w:pPr>
      <w:r>
        <w:t>Erwägungen</w:t>
      </w:r>
    </w:p>
    <w:p>
      <w:r>
        <w:rPr>
          <w:b/>
        </w:rPr>
        <w:t>E. 1.1</w:t>
      </w:r>
    </w:p>
    <w:p>
      <w:r>
        <w:t>Das Bundesverwaltungsgericht beurteilt nach Art. 31 des Verwaltungsgerichtsgesetzes vom 17. Juni 2005 (VGG, SR 173.32) Beschwerden gegen Verfügungen im Sinn von Art. 5 des Verwaltungsverfahrensgesetzes vom 20. Dezember 1968 (VwVG, SR 172.021), soweit diese von einer Vorinstanz nach Art. 33 VGG erlassen worden sind und kein Ausnahmegrund gemäss Art. 32 VGG vorliegt. Der angefochtene Entscheid stellt eine Verfügung im Sinn von Art. 5 VwVG dar und beim UVEK handelt es sich um eine Vorinstanz gemäss Art. 33 Bst. d VGG (vgl. Anhang 1, B. Ziff. VII. 1.1 der Regierungs- und Ver-waltungsorganisationsverordnung vom 25. November 1998 [RVOV, SR 172.010.1]). Schliesslich liegt auch keine Ausnahme nach Art. 32 VGG vor. Demzufolge ist das Bundesverwaltungsgericht zur Beurteilung der vorliegenden Beschwerde sachlich zuständig. Das Verfahren richtet sich nach dem VGG, soweit das Bundesgesetz vom 20. Juni 1930 über die Enteignung (EntG, SR 711) nichts anderes bestimmt (Art. 36 Abs. 1 des Fernmeldegesetzes vom 30. April 1997 [FMG, SR 784.10] i.V.m. Art. 77 Abs. 2 EntG). Das VGG seinerseits verweist in Art. 37 ergänzend auf die Bestimmungen des VwVG.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1.2.1</w:t>
      </w:r>
    </w:p>
    <w:p>
      <w:r>
        <w:t>Die Beschwerdeführerin hat am vorinstanzlichen Verfahren als Gesuchsgegnerin und Grundeigentümerin teilgenommen. Damit ist sie formell beschwert (vgl. Art. 48 Abs. 1 Bst. a VwVG).</w:t>
      </w:r>
    </w:p>
    <w:p>
      <w:r>
        <w:rPr>
          <w:b/>
        </w:rPr>
        <w:t>E. 1.2.2</w:t>
      </w:r>
    </w:p>
    <w:p>
      <w:r>
        <w:t>Es stellt sich im Weiteren die Frage, inwiefern die Beschwerdeführerin durch die angefochtene Verfügung vom 13. September 2022 auch materiell beschwert ist.</w:t>
      </w:r>
    </w:p>
    <w:p>
      <w:r>
        <w:rPr>
          <w:b/>
        </w:rPr>
        <w:t>E. 1.2.2.1</w:t>
      </w:r>
    </w:p>
    <w:p>
      <w:r>
        <w:t>Die Vorinstanz und die Beschwerdegegnerin führen unter anderem aus, es frage sich, ob die Beschwerdeführerin überhaupt ein unmittelbares schutzwürdiges Interesse geltend machen könne, sei sie doch von der angefochtenen Verfügung gar nicht direkt berührt, das heisst, es erwachse ihr kein unmittelbarer Nachteil daraus. Sie könne nämlich ihre Rechte auch noch zu einem späteren Zeitpunkt im anschliessenden Enteignungs-verfahren vollumfänglich wahren. Deshalb bestehe bloss ein mittelbares Interesse, welches noch keine Parteistellung begründe. Aus diesem Grund sei auf die Beschwerde gar nicht einzutreten. Die Beschwerdeführerin bestreitet diese Äusserungen in ihren Schlussbemerkungen vom 23. Januar 2023 grundsätzlich, lässt sich zum spezifischen Antrag, es sei auf die Beschwerde nicht einzutreten, aber nicht vernehmen.</w:t>
      </w:r>
    </w:p>
    <w:p>
      <w:r>
        <w:rPr>
          <w:b/>
        </w:rPr>
        <w:t>E. 1.2.2.2</w:t>
      </w:r>
    </w:p>
    <w:p>
      <w:r>
        <w:t>Das Verfahren der formellen Enteignung teilt sich in zwei Phasen: Einerseits das Administrativverfahren (enteignungsrechtliches Verwaltungsverfahren), andererseits das Schätzungsverfahren. Im Verwaltungs- beziehungsweise Administrativverfahren wird - gegebenen-falls kombiniert mit dem technischen Plangenehmigungsverfahren - über die Zulässigkeit des konkreten Enteignungsbegehrens, die dagegen gerichteten Einsprachen und den Umfang der abzutretenden Rechte entschieden. Das Verfahren zur Verleihung des Enteignungstitels sowie des Enteignungsrechts ist damit eingebettet in das Verfahren zur Erteilung der Projektbewilligung. Diese Verfahrensstufe wird von einer Verwaltungsbehörde geführt und mit dem Plangenehmigungsentscheid abgeschlossen. Mit diesem werden allfällige Auflagen auferlegt und bei entsprechender Gutheissung die Bewilligungen zur Erstellung des Projektes erteilt. Gegen diesen Entscheid kann vor Bundesverwaltungsgericht Beschwerde geführt werden (vgl. Art. 31 VGG i.V.m. Art. 5 VwVG; vgl. zum Ganzen: Urteil des Bundesgerichts 1C_301/2020 vom 12. Mai 2021 E. 5.1 ff. und Urteile des Bundesverwaltungsgerichts [BVGer] A-518/2022 vom 19. Oktober 2023 E. 3.4.1 und A-2696/2021 vom 18. Oktober 2022 E. 3.3 ff.; Franz Kessler Coendet, Formelle Enteignung, in: Biaggini/Häner/Saxer/Schott [Hrsg.], Fachhandbuch Verwaltungsrecht, Zürich 2015 [nachfolgend: Fachhandbuch], Rz. 26.27, 26.70 ff., 26.81; Ulrich Häfelin/Georg Müller/Felix Uhlmann, Allgemeines Verwaltungsrecht, 8. Aufl., Zürich 2020, Rz. 2420 ff., 2430; Peter Hänni, Planungs-, Bau- und besonderes Umweltschutzrecht, 7. Aufl., Bern 2022, S. 641 ff.). In einer zweiten Verfahrensstufe bilden die ordnungsgemäss in der ersten Phase verbindlich genehmigten Pläne die Grundlage für die Durchsetzung der Enteignung. Der einzelne Enteignungstitel bildet dabei den Ausgangspunkt für das die konkrete Enteignung betreffende Schätzungsverfahren, welches vor einer Eidgenössischen Schätzungs-kommission durchgeführt wird. Es beschlägt allein die finanziellen Aspekte der Enteignung respektive deren Entschädigungsfolgen (vgl. Botschaft des Bundesrates zu einem Bundesgesetz über die Koordination und Vereinfachung der Plangenehmigungsverfahren vom 25. Februar 1998, BBl 1998 2600; Kessler Coendet, in: Fachhandbuch, Rz. 26.7, 26.70 ff.; Häfelin/Müller/Uhlmann, a.a.O., Rz. 2425 ff.; Hänni, a.a.O., S. 651 f.; Heinz Hess/Heinrich Weibel, Das Enteignungsrecht des Bundes, Bern 1986, S. 359 Rz. 3 f., Art. 27 Rz. 16 ff. insb. 20).</w:t>
      </w:r>
    </w:p>
    <w:p>
      <w:r>
        <w:rPr>
          <w:b/>
        </w:rPr>
        <w:t>E. 1.2.2.3</w:t>
      </w:r>
    </w:p>
    <w:p>
      <w:r>
        <w:t>Dieses phasenweise Vorgehen entspricht der gängigen Praxis und wird im revidierten EntG in Art. 27 ff. explizit festgehalten. Gleiches gilt für jenen Fall, in dem aufgrund einer Spezialgesetzgebung kein kombiniertes Verfahren durchzuführen ist, sondern in einem selbständigen Enteignungsverfahren gemäss Art. 36 ff. EntG entschieden wird. Dies bedeutet, dass Natur, Inhalt und Umfang der zu enteignenden Rechte grundsätzlich von der Behörde, die im Plangenehmigungs- beziehungsweise im Einspracheverfahren über das Enteignungsrecht entscheidet, bestimmt werden. Damit hat sich die Schätzungskommission im nachfolgenden Schätzungsverfahren nicht mehr zu befassen (Urteil des Bundesgerichts 1C_301/2020 vom 12. Mai 2021 E. 5.4-5.6; Urteil des BVGer A-6750/2016 vom 21. Juni 2017 E. 3.4; Kessler Coendet, in: Fachhandbuch, Rz. 26.27, 26.72 f. und 26.82). Wie soeben gezeigt wurde, bildet die Erteilung des Enteignungsrechts Teil des Administrativverfahrens. Eine Eigenheit des Fernmelderechts besteht indessen - wie im vorliegenden Verfahren zutreffend von der Vorinstanz dargelegt - in einer unterschiedlichen Zuständigkeit zur Erteilung des Enteignungsrechts durch die Vorinstanz einerseits (vgl. Art. 36 Abs. 1 FMG) und der eigentlichen Projektgenehmigung durch das Bundesamt für Energie (BFE; vgl. Art. 38 Abs. 2 EntG) andererseits. In diesem Zusammenhang kann vorliegend offengelassen werden, ob ein - wie die Vorinstanz geltend macht - aufgrund der Ausgestaltung des Projektes (Lichtwellenleiter als Fernmeldeanlage in Verbindung mit einer plangenehmigungsbedürftigen Starkstromleitung gemäss Art. 36 Abs. 1 EntG i.V.m. Art. 38 Abs. 2 EntG) selbständiges Enteignungsverfahren oder ob ein kombiniertes Plangenehmigungsverfahren durchzuführen ist. Beiden Verfahren ist die Einheit des Administrativverfahrens gemein. Dieses schliesst die Erteilung des Enteignungsrechts ein und findet mit einer anfechtbaren Verfügung der Genehmigungsbehörde seinen Abschluss.</w:t>
      </w:r>
    </w:p>
    <w:p>
      <w:r>
        <w:rPr>
          <w:b/>
        </w:rPr>
        <w:t>E. 1.2.2.4</w:t>
      </w:r>
    </w:p>
    <w:p>
      <w:r>
        <w:t>Die angefochtene Verfügung vom 13. September 2022 bezieht sich allein auf die Erteilung des Enteignungsrechts für den Betrieb einzelner, von der Beschwerdegegnerin nicht genutzte Fasern des Lichtwellenleiters auf der Starkstromleitung [...] - [...] TR1400-WJ009 über die Grundstücke Kat.-Nrn. [...], [...] und [...] in der Gemeinde [...], welche sich im Eigentum der Beschwerdeführerin befinden. Diese Erteilung des Enteignungsrechts ist jedoch - wie aus den oben gemachten Ausführungen hervorgeht - einer direkten gerichtlichen Überprüfung durch eine Beschwerdeerhebung entzogen (vgl. Kessler Coendet, in: Fachhandbuch, Rz. 26.75). Mit anderen Worten ist der Beschwerdeführerin durch die angefochtene Verfügung noch kein nicht wiedergutzumachender Nachteil erwachsen, weshalb ihr kein schutzwürdiges Interesse an deren Aufhebung oder Änderung zugesprochen werden kann.</w:t>
      </w:r>
    </w:p>
    <w:p>
      <w:r>
        <w:rPr>
          <w:b/>
        </w:rPr>
        <w:t>E. 1.2.3</w:t>
      </w:r>
    </w:p>
    <w:p>
      <w:r>
        <w:t>Nach dem Gesagten ist zusammenfassend festzuhalten, dass der Beschwerdeführerin keine Legitimation für die vorliegend geführte Beschwerde zukommt und auf diese in der Folge nicht einzutreten ist.</w:t>
      </w:r>
    </w:p>
    <w:p>
      <w:r>
        <w:rPr>
          <w:b/>
        </w:rPr>
        <w:t>E. 2</w:t>
      </w:r>
    </w:p>
    <w:p>
      <w:r>
        <w:t>Es bleibt über die Kosten- und Entschädigungsfolgen des Verfahrens vor Bundesverwaltungsgericht zu befinden.</w:t>
      </w:r>
    </w:p>
    <w:p>
      <w:r>
        <w:rPr>
          <w:b/>
        </w:rPr>
        <w:t>E. 2.1</w:t>
      </w:r>
    </w:p>
    <w:p>
      <w:r>
        <w:t>Gemäss Art. 116 Abs. 1 EntG hat der Enteigner die Kosten des Verfahrens vor dem Bundesverwaltungsgericht, einschliesslich einer Parteientschädigung an den Enteigneten zu tragen. Werden die Begehren des Enteigneten ganz oder zum grösseren Teil abgewiesen, so können die Kosten auch anders verteilt werden. Unnötige Kosten trägt in jedem Fall, wer sie verursacht hat (Art. 116 Abs. 1 EntG). Für ein Abweichen vom Grundsatz, wonach der Enteigner die aus der Geltendmachung des Enteignungsrechts entstehenden Kosten trägt, sind vorliegend keine Gründe ersichtlich. Aufgrund der angebrachten Rechtsmittelbelehrung in der angefochtenen Verfügung durfte und musste die Beschwerdeführerin davon ausgehen, dass die Erteilung des Enteignungsrechts selbständig angefochten werden kann.</w:t>
      </w:r>
    </w:p>
    <w:p>
      <w:r>
        <w:rPr>
          <w:b/>
        </w:rPr>
        <w:t>E. 2.2</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In enteignungs-rechtlichen Verfahren ist es zudem üblich, die Kosten eher niedrig zu halten. Sie sind zudem in Abweichung von Art. 4 VGKE nicht in Abhängigkeit des Streitwertes zu bestimmen. Da das Unterliegerprinzip grundsätzlich nicht gilt, kann der Streitwert bei der Bestimmung der Gerichtsgebühr (wie auch der Parteientschädigung) nicht ausschlag-gebend sein (vgl. Urteile des BVGer A-792/2019 vom 18. Februar 2020 E. 17.2 sowie A-4516/2016 vom 7. Februar 2018 E. 11.2). Das Bundesverwaltungsgericht hatte vorliegend allein über die Beschwerde-legitimation zu befinden. Es erscheint deshalb als angemessen, die Gerichtsgebühr auf Fr. 1'000.-- festzusetzen. Der Beschwerdegegnerin sind als Enteignerin somit Verfahrenskosten in dieser Höhe aufzuerlegen.</w:t>
      </w:r>
    </w:p>
    <w:p>
      <w:r>
        <w:rPr>
          <w:b/>
        </w:rPr>
        <w:t>E. 2.3</w:t>
      </w:r>
    </w:p>
    <w:p>
      <w:r>
        <w:t>Bei diesem Verfahrensausgang ist auch die Ausrichtung einer Parteientschädigung der Beschwerdegegnerin aufzuerlegen.</w:t>
      </w:r>
    </w:p>
    <w:p>
      <w:r>
        <w:rPr>
          <w:b/>
        </w:rPr>
        <w:t>E. 2.3.1</w:t>
      </w:r>
    </w:p>
    <w:p>
      <w:r>
        <w:t>Die Parteientschädigung umfasst die notwendigen Kosten der Vertretung sowie allfällige weitere Auslagen der Partei (vgl. Art. 116 Abs. 1 EntG sowie Art. 8 VGKE). Das Gericht setzt sie aufgrund der Kostennote oder, wenn keine solche eingereicht wird, aufgrund der Akten fest (vgl. Art. 14 Abs. 2 VGKE; Lukas Müller, in: Waldmann/Krauskopf [Hrsg.], Praxiskommentar VwVG, 3. Aufl., Zürich 2023, Art. 64 Rz. 44 ff.), wobei die Bemessung praxisgemäss nach dem notwendigen Zeitaufwand des Vertreters sowie der Komplexität der zu behandelnden Rechtsfragen erfolgt. Der Stundenansatz beträgt für nichtanwaltliche Vertretungen mindestens Fr. 100.-- und höchstens Fr. 300.-- exklusive Mehrwertsteuer (vgl. Art. 10 Abs. 1 und 2 VGKE; vgl. ausführlich zur Parteientschädigung im enteignungsrechtlichen Verfahren Urteil des BVGer A-2163/2012 vom 1. April 2014 E. 27.2.1 und E. 27.3.1 f. mit Hinweisen).</w:t>
      </w:r>
    </w:p>
    <w:p>
      <w:r>
        <w:rPr>
          <w:b/>
        </w:rPr>
        <w:t>E. 2.3.2</w:t>
      </w:r>
    </w:p>
    <w:p>
      <w:r>
        <w:t>Der nichtanwaltliche Vertreter der Beschwerdeführerin legte keine detaillierte Kostennote vor. Die Parteientschädigung ist deshalb ermessensweise aufgrund der Akten zu bestimmen (Art. 14 Abs. 2 VGKE). In Anbetracht des mutmasslichen Arbeits- und Zeitaufwandes, namentlich für das Verfassen der Rechtsschriften, hält das Bundesverwaltungsgericht eine Parteientschädigung von Fr. 1'500.-- (inkl. Auslagen) für angemessen. Diese ist durch die enteignende Beschwerdegegnerin nach Eintritt der Rechtskraft dieses Urteils zu entrichten. Der Beschwerdegegnerin steht von vornherein keine Parteientschädigung zu, ebenso hat die Vorinstanz als eidgenössische Behörde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