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A-4699/2024 vom 25. Februar 2025</w:t>
      </w:r>
    </w:p>
    <w:p>
      <w:r>
        <w:t>Bundesverwaltungsgericht, 2025-02-25, DE</w:t>
      </w:r>
    </w:p>
    <w:p>
      <w:r>
        <w:rPr>
          <w:b/>
        </w:rPr>
        <w:t xml:space="preserve">Quelle: </w:t>
      </w:r>
      <w:r>
        <w:t>https://mcp.opencaselaw.ch/entscheid/bvger_A-4699_2024</w:t>
      </w:r>
    </w:p>
    <w:p>
      <w:r>
        <w:t>FR: TAF A-4699/2024 du 25 février 2025</w:t>
      </w:r>
    </w:p>
    <w:p>
      <w:r>
        <w:t>IT: TAF A-4699/2024 del 25 febbraio 2025</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betreffend die Amtshilfe gestützt auf das DBA CH-ES zuständig (vgl. Art. 19 Abs. 5 des Bundesgesetzes vom 28. September 2012 über die internationale Amtshilfe in Steuersachen [Steueramtshilfegesetz, StAhiG, SR 651.1]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1.2</w:t>
      </w:r>
    </w:p>
    <w:p>
      <w:r>
        <w:t>Die Beschwerdeführerin ist als Verfügungsadressatin gemäss Art. 48 Abs. 1 VwVG in Verbindung mit Art. 19 Abs. 2 StAhiG zur Beschwerde legitimiert. Auf die frist- und formgerecht eingereichte Beschwerde ist folglich einzutreten (vgl. Art. 50 Abs. 1 und Art. 52 Abs. 1 VwVG).</w:t>
      </w:r>
    </w:p>
    <w:p>
      <w:r>
        <w:rPr>
          <w:b/>
        </w:rPr>
        <w:t>E. 2.1.1</w:t>
      </w:r>
    </w:p>
    <w:p>
      <w:r>
        <w:t>Die staatsvertragliche Grundlage für die Leistung von Amtshilfe in Steuersachen gegenüber Spanien ist vorliegend Art. 25bis DBA CH-ES sowie Ziff. IV des dazugehörigen Protokolls (nachfolgend: Protokoll zum DBA CH-ES).</w:t>
      </w:r>
    </w:p>
    <w:p>
      <w:r>
        <w:rPr>
          <w:b/>
        </w:rPr>
        <w:t>E. 2.1.2</w:t>
      </w:r>
    </w:p>
    <w:p>
      <w:r>
        <w:t>Art. 25bis DBA CH-ES entspricht weitgehend dem Wortlaut von Art.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w:t>
      </w:r>
    </w:p>
    <w:p>
      <w:r>
        <w:rPr>
          <w:b/>
        </w:rPr>
        <w:t>E. 2.2</w:t>
      </w:r>
    </w:p>
    <w:p>
      <w:r>
        <w:t>Gemäss Paragraph IV Ziff. 4 zu Artikel 25bis des Protokolls zum DBA CH-ES besteht unter den Vertragsparteien des Abkommens Einvernehmen darüber, dass Art. 25bis DBA CH-ES «die Vertragsstaaten nicht dazu verpflichtet, Informationen auf automatischer oder spontaner Basis auszutauschen».</w:t>
      </w:r>
    </w:p>
    <w:p>
      <w:r>
        <w:rPr>
          <w:b/>
        </w:rPr>
        <w:t>E. 2.3</w:t>
      </w:r>
    </w:p>
    <w:p>
      <w:r>
        <w:t>Zieht eine Behörde das Amtshilfeersuchen während des laufenden Verfahrens zurück, mangelt es an einer Voraussetzung für die Leistung von Amtshilfe gestützt auf ein Ersuchen. Abgesehen davon tut die Behörde damit auch ihre Ansicht kund, dass die Informationen, um die ersucht wurde, nicht (mehr) voraussichtlich erheblich sind (vgl. Urteile des BVGer A-6088/2022 vom 20. Dezember 2023 E. 2.3, A-5743/2016 vom 29. März 2017 E. 2.2; Abschreibungsentscheid des BVGer A-1644/2020 vom 24. Mai 2022 E. 3.2.2).</w:t>
      </w:r>
    </w:p>
    <w:p>
      <w:r>
        <w:rPr>
          <w:b/>
        </w:rPr>
        <w:t>E. 3.1</w:t>
      </w:r>
    </w:p>
    <w:p>
      <w:r>
        <w:t>Mit E-Mail vom 20. Januar 2025 hat die ersuchende Behörde der Vor-instanz den Rückzug des Amtshilfeersuchen bestätigt, da sie die angefragten Informationen nicht mehr benötige (vgl. Sachverhalt Bst. I.e). Demnach mangelt es nunmehr an einer Voraussetzung für die Leistung von Amtshilfe auf Ersuchen. Zudem erscheinen die Informationen als nicht (mehr) erheblich (E. 2.3).</w:t>
      </w:r>
    </w:p>
    <w:p>
      <w:r>
        <w:rPr>
          <w:b/>
        </w:rPr>
        <w:t>E. 3.2</w:t>
      </w:r>
    </w:p>
    <w:p>
      <w:r>
        <w:t>Da die ESTV ihre Schlussverfügung vom 24. Juni 2024 nicht in Wiedererwägung gezogen hat (vgl. Art. 58 Abs. 1 und 2 VwVG), ist das Verfahren nicht gegenstandslos geworden. Eine Verfahrenserledigung durch Abschreibung kommt damit nicht in Betracht, besteht die angefochtene Verfügung doch immer noch (vgl. Urteile des BVGer A-6088/2022 vom 20. Dezember 2023 E. 3.2, A-6103/2022 vom 20. Dezember 2023 E. 3.2, A-5743/2016 vom 29. März 2017 E. 3.2, A-211/2016 vom 7. Juli 2016 E. 4).</w:t>
      </w:r>
    </w:p>
    <w:p>
      <w:r>
        <w:rPr>
          <w:b/>
        </w:rPr>
        <w:t>E. 3.3</w:t>
      </w:r>
    </w:p>
    <w:p>
      <w:r>
        <w:t>Nach dem Gesagten darf aber vorliegend keine Amtshilfe geleistet werden (E. 3.1). Die Beschwerde ist somit gutzuheissen und die angefochtene Schlussverfügung ist aufzuheben.</w:t>
      </w:r>
    </w:p>
    <w:p>
      <w:r>
        <w:rPr>
          <w:b/>
        </w:rPr>
        <w:t>E. 4</w:t>
      </w:r>
    </w:p>
    <w:p>
      <w:r>
        <w:t>Damit verbleibt. über die Verfahrenskosten (E. 4.1) und die Parteientschädigung (E. 4.2) zu befinden. Da es sich vorliegend nicht um ein gegenstandsloses Verfahren handelt (vgl. E. 3.2), sind weder Art. 5 des Reglements über die Kosten und Entschädigungen vor dem Bundesverwaltungsgericht (VGKE, SR 173.320.2) - der bestimmt, dass die Verfahrenskosten in der Regel jener Partei auferlegt werden, deren Verhalten die Gegenstandslosigkeit bewirkt hat - noch Art. 15 VGKE, welcher für die Festsetzung der Parteientschädigung auf Art. 5 VGKE verweist, einschlägig.</w:t>
      </w:r>
    </w:p>
    <w:p>
      <w:r>
        <w:rPr>
          <w:b/>
        </w:rPr>
        <w:t>E. 4.1.1</w:t>
      </w:r>
    </w:p>
    <w:p>
      <w:r>
        <w:t>Die Verfahrenskosten werden in der Regel der unterliegenden Partei auferlegt (Art. 63 Abs. 1 VwVG). Einer obsiegenden Partei dürfen nur Verfahrenskosten auferlegt werden, die sie durch Verletzung von Verfahrenspflichten verursacht hat (Art. 63 Abs. 3 VwVG).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(Urteile des BVGer A-2703/2020 vom 12. Mai 2021 E. 4.1.2, A-2496/2020 vom 18. November 2020 E. 4.2.2, A-3318/2019 vom 9. September 2020 E. 4).</w:t>
      </w:r>
    </w:p>
    <w:p>
      <w:r>
        <w:rPr>
          <w:b/>
        </w:rPr>
        <w:t>E. 4.1.2</w:t>
      </w:r>
    </w:p>
    <w:p>
      <w:r>
        <w:t>Zunächst ist festzuhalten, dass mögliche Verstösse gegen Mitwirkungspflichten im ersuchenden Staat für das vorliegende Verfahren nicht von Belang sind. So obliegt es nicht dem Bundesverwaltungsgericht zu prüfen, ob die Beschwerdeführerin nach spanischem Recht ihre Mitwirkungspflichten verletzt hat. Aus dem Rückzug des Amtshilfeersuchens durch die ersuchende Behörde geht nicht eindeutig hervor, seit wann die angeforderten Informationen nicht mehr benötigt werden. Die ersuchende Behörde erwähnt lediglich, dass die Beschwerdeführerin die verlangten Informationen eingereicht habe, ohne jedoch einen genauen Zeitpunkt zu nennen. Daraus lässt sich nicht ableiten, dass die Beschwerdeführerin das vorliegende Verfahren unnötig provoziert bzw. verzögert hat. Im Gegenteil: Sie hat aktiv zur Beschleunigung beigetragen und den Aufwand reduziert, indem sie das Bundesverwaltungsgericht umgehend über den Rückzug des Amtshilfeersuchens informierte, sobald sie Kenntnis davon hatte. Insgesamt kann der Beschwerdeführerin daher nicht vorgeworfen werden, sie habe das vorliegende Verfahren unnötig provoziert oder verzögert, indem sie ihre Mitwirkungspflicht verletzt habe.</w:t>
      </w:r>
    </w:p>
    <w:p>
      <w:r>
        <w:rPr>
          <w:b/>
        </w:rPr>
        <w:t>E. 4.1.3</w:t>
      </w:r>
    </w:p>
    <w:p>
      <w:r>
        <w:t>Zusammengefasst besteht kein Anlass, der obsiegenden Beschwerdeführerin die Verfahrenskosten aufzuerlegen (Art. 63 Abs. 1 e contrario und Abs. 3 VwVG). Der einbezahlte Kostenvorschuss in der Höhe von Fr. 3'000.-- ist der Beschwerdeführerin nach Eintritt der Rechtskraft des vorliegenden Urteils zurückzuerstatten. Der Vorinstanz können keine Verfahrenskosten auferlegt werden (Art. 63 Abs. 2 VwVG).</w:t>
      </w:r>
    </w:p>
    <w:p>
      <w:r>
        <w:rPr>
          <w:b/>
        </w:rPr>
        <w:t>E. 4.2.1.1</w:t>
      </w:r>
    </w:p>
    <w:p>
      <w:r>
        <w:t>Die obsiegende, anwaltlich vertretene Beschwerdeführerin hat Anspruch auf eine Parteientschädigung zu Lasten der Vorinstanz (Art. 64 Abs. 1 VwVG i.V.m. Art. 7 ff. VGKE). Die Parteientschädigung umfasst die Kosten der Vertretung sowie allfällige weitere notwendige Auslagen der Partei (Art. 8 Abs. 1 VGKE). Die Kosten der Vertretung umfassen das Anwaltshonorar oder die Entschädigung für eine nichtanwaltliche berufsmässige Vertretung (Art. 9 Abs. 1 Bst. a VGKE); die Auslagen, namentlich die Kosten für das Kopieren von Schriftstücken, die Reise-, Verpflegungs- und Unterkunftskosten, die Porti und die Telefonspesen (Art. 9 Abs. 1 Bst. b VGKE) sowie die Mehrwertsteuer für die Entschädigung nach den Buchstaben a und b, soweit eine Steuerpflicht besteht und die Mehrwertsteuer nicht bereits berücksichtigt wurde (Art. 9 Abs. 1 Bst. c VGKE). Die Spesen werden aufgrund der tatsächlichen Kosten ausbezahlt (Art. 11 Abs. 1 VGKE).</w:t>
      </w:r>
    </w:p>
    <w:p>
      <w:r>
        <w:rPr>
          <w:b/>
        </w:rPr>
        <w:t>E. 4.2.1.2</w:t>
      </w:r>
    </w:p>
    <w:p>
      <w:r>
        <w:t>Das Bundesverwaltungsgericht legt die Entschädigung aufgrund der eingereichten Kostennote oder, wenn keine Kostennote eingereicht wird, aufgrund der Akten fest (Art. 14 VGKE). Auch bei der Festsetzung der Parteientschädigung auf der Basis einer Kostennote ist es jedoch Aufgabe des Gerichts, zu überprüfen, in welchem Umfang die geltend gemachten Kosten als notwendig für die Vertretung anerkannt werden können (vgl. Urteil des BGer 2C_445/2009 vom 23. Februar 2010 E. 5.3). Parteikosten gelten als notwendig, wenn sie zur sachgerechten und wirksamen Rechtsverfolgung oder -verteidigung unerlässlich erscheinen (vgl. BGE 131 II 200 E. 7.2; André Moser et al., Prozessieren vor dem Bundesverwaltungsgericht, 3. Aufl. 2022, Rz. 4.68). Die eingereichte Kostennote muss einen ausreichenden Detaillierungsgrad aufweisen (Art. 14 Abs. 1 VGKE), damit überprüft werden kann, ob der geltend gemachte Aufwand entschädigungsberechtigt ist. Deshalb muss aus ihr ersichtlich sein, welche Arbeiten durchgeführt worden sind, wer wie viel Zeit zu welchem Tarif aufgewendet und wie sich der geltend gemachte Aufwand auf die einzelnen Arbeiten verteilt hat. Bei Fehlen einer (detaillierten) Kostennote ist die Entschädigung aufgrund der Akten und nach freiem gerichtlichem Ermessen zu bestimmen (vgl. Urteile des BVGer A-6088/2022 vom 20. Dezember 2023 E. 4.2.1.2, A-2877/2020 vom 11. November 2020 E. 6.2.2, A-2121/2017 vom 21. April 2017, A-3112/2015 vom 22. Oktober 2015 E. 6.2).</w:t>
      </w:r>
    </w:p>
    <w:p>
      <w:r>
        <w:rPr>
          <w:b/>
        </w:rPr>
        <w:t>E. 4.2.2</w:t>
      </w:r>
    </w:p>
    <w:p>
      <w:r>
        <w:t>Die Beschwerdeführerin hat eine Kostennote über insgesamt Fr. 12'478.05 (Honorare in Höhe von Fr. 11'206.85 und Kleinkostenpauschale in Höhe von Fr. 366.20 zzgl. 8,1 % Mehrwertsteuer) für das vorliegende und zwei parallele Beschwerdeverfahren (A-4697/2024 und A-4698/2024) eingereicht. Sie macht geltend, die Kosten für das vorliegende Beschwerdeverfahren würden Fr. 4'159.35 betragen. Genannt werden das Datum und die Art der in Rechnung gestellten Leistungen, die Person durch welche die Tätigkeit ausgeführt wurde, die jeweilige Anzahl aufgewendeter Stunden, der Stundenansatz sowie der daraus resultierende in Rechnung gestellte Betrag. Weiter wurde in Rechnung gestellt eine Kleinkostenpauschale von pauschal 3 % des Honorars (Fr. 366.20) sowie die Mehrwertsteuer (Fr. 935.-- auf Fr. 11'543.05). Die Kostennote erweist sich als genügend detailliert, sodass zur Festlegung der Parteientschädigung darauf abzustellen ist (E. 4.2.1.2). Die angefallenen Aufwände erscheinen angemessen und für die Wahrung der Rechte der Beschwerdeführerin notwendig. Die Kostennote bewegt sich zudem im Rahmen dessen, was in mit Bezug auf Umfang und Komplexität vergleichbaren Verfahren bereits zugesprochen wurde. Als Auslagen werden jedoch nur die tatsächlich angefallenen Auslagen entschädigt, nicht pauschal geforderte Auslagen (Art. 9 Abs. 1 Bst. b und Art. 11 Abs. 1 VGKE). Insgesamt ergeben sich somit Kosten in Höhe von Fr. 12'114.60 (Honorare in Höhe von Fr. 11'206.85 zuzüglich 8,1 % MWST), von denen Fr. 4'038.20 auf das vorliegende Verfahren entfallen. Nach Eintritt der Rechtskraft des vorliegenden Urteils ist der Beschwerdeführerin Fr. 4'038.20 von der Vorinstanz als Parteientschädigung zu erstatten.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