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A-4677/2010 vom 12. Mai 2011</w:t>
      </w:r>
    </w:p>
    <w:p>
      <w:r>
        <w:t>Bundesverwaltungsgericht, 2011-05-12, DE</w:t>
      </w:r>
    </w:p>
    <w:p>
      <w:r>
        <w:rPr>
          <w:b/>
        </w:rPr>
        <w:t xml:space="preserve">Quelle: </w:t>
      </w:r>
      <w:r>
        <w:t>https://mcp.opencaselaw.ch/entscheid/bvger_A-4677_2010</w:t>
      </w:r>
    </w:p>
    <w:p>
      <w:r>
        <w:t>FR: TAF A-4677/2010 du 12 mai 2011</w:t>
      </w:r>
    </w:p>
    <w:p>
      <w:r>
        <w:t>IT: TAF A-4677/2010 del 12 maggio 2011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27. Mai 2010 ist damit als eine beim Bundesverwaltungsgericht anzufechtende Verfügung zu qualifizieren. Ob ein solches Einspracheverfahren im Übrigen nötig bzw. dessen Durchführung gar zulässig war, ist angesichts des Umstands, dass es bei ausländischen Leistungsempfängern nie um eine Frage der Rückerstattung der Verrechnungssteuer im originären Sinn, sondern um die quantitative Abgrenzung der Besteuerungsbefugnisse zweier Staaten geht (Zwischenverfügung des Bundesverwaltungsgerichts A-6537/2010 vom 11. Januar 2011 E. 3.2.5.1), zwar fraglich. Auf diese Frage muss aber nachfolgend nicht weiter eingegangen werden, da die angefochtene Verfügung vom 25. Februar 2010 als Rechtsmittel die Einsprache nannte (vgl. G oben) und der Partei aus einer mangelhaften Eröffnung, also auch einer solchen mit einer fehlerhaften Rechtsmittelbelehrung, kein Nachteil erwachsen dar (Art. 38 VwVG; Lorenz Kneubühler, in Auer/Müller/Schindler [Hrsg.], Kommentar zum Bundesgesetz über das Verwaltungsverfahren [VwVG], Zürich/St. Gallen 2008 [nachfolgend Kommentar VwVG], N. 19 zu Art. 38). Als Adressatin des Einspracheent-scheids ist der Beschwerdeführer zur Erhebung der vorliegenden Be-schwerde legitimiert (Art. 48 Abs. 1 VwVG).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sollen, ist weder dem Gesetz noch den Materialien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 1898/2009 vom 26. August 2010 E. 9.1). Ein Rückweisungsentscheid rechtfertigt sich vor allem dann, wenn weitere Tatsachen festgestellt werden müssen und ein umfassendes Beweisverfahren durchzuführen ist (Moser/Beusch/Kneubühler, a.a.O., Rz. 3.194).</w:t>
      </w:r>
    </w:p>
    <w:p>
      <w:r>
        <w:rPr>
          <w:b/>
        </w:rPr>
        <w:t>E. 2.1</w:t>
      </w:r>
    </w:p>
    <w:p>
      <w:r>
        <w:t>Art. 29 Abs. 1 der Bundesverfassung der Schweizerischen Eidgenos-senschaft vom 18. April 1999 [BV, SR 101] gewährleistet als Mindestan-forderung an ein rechtsstaatliches Verfahren den Erlass eines Entscheids innerhalb einer angemessenen Frist. Für die Frage, ob die Dauer des Verfahrens einem ordentlichen Geschäftsablauf entspricht, ist sinngemäss auf die zur Rechtsverzögerungsbeschwerde entwickelten Kriterien abzustellen (vgl. Urteil des Bundesgerichts 12T_1/2007 vom 29. Mai 2007 E. 3). Die Angemessenheit der Dauer eines Verfahrens bestimmt sich nicht absolut, sondern unter Berücksichtigung der gesamten Umstände des Einzelfalls (etwa die Natur, der Umfang und die Komplexität der Angelegenheit, das Verhalten der betroffenen Privaten und der Behörden, die Bedeutung für die Betroffenen oder die für die Sache spezifischen Entscheidungsabläufe etc.; vgl. BGE 130 I 312 E. 5.1 f.; Urteile des Bundesgerichts 2C_872/2008 und 2C_873/2008 vom 7. Dezember 2009 E. 4.1.1, 2C_642/2008 vom 12. Dezember 2008 E. 4.1, 2C_170/2008 vom 30. Juli 2008 E. 3; ferner ausführlich zum Beschleunigungsgebot bzw. zur Rechtsverzögerung: BVGE 2009/42 E. 2.2; Urteil des Bundesverwaltungsgerichts A-8017/2009 vom 2. September 2010 E. 4.1).</w:t>
      </w:r>
    </w:p>
    <w:p>
      <w:r>
        <w:rPr>
          <w:b/>
        </w:rPr>
        <w:t>E. 2.2</w:t>
      </w:r>
    </w:p>
    <w:p>
      <w:r>
        <w:t>Das Bundesgericht hat im Urteil 2C_657/2008 vom 28. November 2008 in E. 4 erwogen, ein gegen drei Jahre dauerndes Einspracheverfah-ren könne unabhängig von einer allenfalls hohen Geschäftsbelastung der Steuerbehörde und der mangelhaften Mitwirkung des Beschwerdeführers nicht mehr als "angemessen" im Sinn von Art. 29 Abs. 1 BV bezeichnet werden. Im Urteil 2C_170/2008 vom 30. Juli 2008 E. 3 hat es ferner ledig-lich, aber immerhin, festgehalten, dass sich eine Dauer von knapp drei Jahren für ein steuerrechtliches Einspracheverfahren in der Tat als lang erweise, wobei in casu auf der anderen Seite auch zu berücksichtigen sei, dass die (dortige) Beschwerdeführerin ihrerseits nichts unternommen habe, um jenes Verfahren zu beschleunigen, indem sie weder die ESTV um einen sofortigen Entscheid ersucht noch eine Rechtsverzögerungsbe-schwerde erhoben habe. Das Bundesverwaltungsgericht hat im Urteil A 1802/2008 vom 19. Mai 2010 in E. 7.2 ein Entscheidverfahren von rund zwei Jahren und das anschliessende Einspracheverfahren von rund zweieinhalb Jahren - insbesondere unter Berücksichtigung der eher um-fangreichen Aktenlage, der zahlreichen zu untersuchenden Geschäftsbe-triebe und der ausführlichen Rechtsschrift - gerade noch als vertretbar erachtet. Demgegenüber ist es im Urteil A-4072/2007 vom 11. März 2009 in E. 6.2 zum Schluss gekommen, dass eine Verfahrensdauer von sieben Jahren (jeweils rund dreieinhalb Jahre für das Entscheid- sowie das Ein-spracheverfahren) nicht mehr als "angemessen" im Sinne von Art. 29 Abs. 1 BV bezeichnet werden könne. Im Urteil A-8017/2009 vom 2. September 2010 hat das Bundesverwaltungsgericht schliesslich ein Verfahren, das vom Zeitpunkt der Bestreitung bis zur Fällung des Einspracheentscheids etwas mehr als fünf Jahre dauerte, als eher unangemessen lang qualifiziert.</w:t>
      </w:r>
    </w:p>
    <w:p>
      <w:r>
        <w:rPr>
          <w:b/>
        </w:rPr>
        <w:t>E. 3.1</w:t>
      </w:r>
    </w:p>
    <w:p>
      <w:r>
        <w:t>Der Bund erhebt eine Verrechnungssteuer auf dem Ertrag bewegli-chen Kapitalvermögens (Art. 132 Abs. 2 BV und Art. 1 Abs. 1 des Bun-desgesetzes vom 13. Oktober 1965 über die Verrechnungssteuer [Ver-rechnungssteuergesetz, VStG, SR 642.21]).</w:t>
      </w:r>
    </w:p>
    <w:p>
      <w:r>
        <w:rPr>
          <w:b/>
        </w:rPr>
        <w:t>E. 3.2</w:t>
      </w:r>
    </w:p>
    <w:p>
      <w:r>
        <w:t>Die Verrechnungssteuer wird nach Massgabe des Verrechnungs-steuergesetzes oder nach den einschlägigen Regeln eines Doppelbe-steuerungsabkommens zurückerstattet (Art. 1 Abs. 2 VStG). Sie stellt grundsätzlich nur für inländische Defraudanten eine endgültige Belastung dar. Weiter belastet sie - vorbehältlich doppelbesteuerungsrechtlicher Regelungen -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Urteile des Bundesverwaltungsgerichts A-1594/2006 vom 4. Oktober 2010 E. 3.1, A-1898/2009 vom 26. August 2010 E. 3.1 mit Hinweisen).</w:t>
      </w:r>
    </w:p>
    <w:p>
      <w:r>
        <w:rPr>
          <w:b/>
        </w:rPr>
        <w:t>E. 3.3</w:t>
      </w:r>
    </w:p>
    <w:p>
      <w:r>
        <w:t>Gegenstand der Verrechnungssteuer sind unter anderem die Erträge der von einem Inländer ausgegebenen Aktien (Art. 4 Abs. 1 Bst. b VStG) sowie der Kundenguthaben bei inländischen Banken (Art. 4 Abs. 1 Bst. d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4.1</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teilweise andere Voraussetzungen. Einen Anspruch auf teilweise oder vollständige Entlastung haben sie nur dann, wenn ein zwischen der Schweiz und dem entsprechenden Ansässigkeitsstaat ab-geschlossenes Doppelbesteuerungsabkommen (DBA) dies vorsieht (Maja Bauer-Balmelli, in: Martin Zweifel/Peter Athanas/Maja Bauer-Balmelli [Hrsg.], Kommentar zum Schweizerischen Steuerrecht II/2, Basel 2005 [hiernach: Kommentar VStG], N. 55 zu Art. 21 VStG mit Hinweisen). Die Schweiz verfolgt als Kapitalexportstaat die Politik, im Zusammenhang mit Kapitalerträgen die Besteuerungsbefugnis des Quellenstaates möglichst einzuschränken (René Matteotti, «Treaty Shopping» und seine Grenzen in der schweizerischen Rechtsprechung, veröffentlicht in Zeitschrift für Schweizerisches und Internationales Steuerrecht [zsis] vom 24. Oktober 2008, Zürich 2008 [hiernach: Treaty Shopping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(Matteotti, Treaty Shopping 2008, Ziff. IV/2; René Matteotti, Die Ver-weigerung der Entlastung von der Verrechnungssteuer wegen Treaty Shoppings [hiernach: Treaty Shopping 2007], veröffentlicht in Archiv für Schweizerisches Abgaberecht [ASA] 75 S. 794; Urteile des Bundesver-waltungsgerichts A-2744/2008 vom 23. März 2010 E. 3.4, A-2163/2007 vom 30. Oktober 2008 E. 5).</w:t>
      </w:r>
    </w:p>
    <w:p>
      <w:r>
        <w:rPr>
          <w:b/>
        </w:rPr>
        <w:t>E. 4.2</w:t>
      </w:r>
    </w:p>
    <w:p>
      <w:r>
        <w:t>Die Entlastung von den Steuern eines Vertragsstaats setzt in der Re-gel nicht voraus, dass der Empfänger die Versteuerung im anderen Ver-tragsstaat nachweist. Eine effektive Doppelbesteuerung ist nicht Voraus-setzung für die Anwendung eines DBA; es wird auch eine virtuelle Dop-pelbesteuerung vermieden. Dieser Grundsatz erfährt aber unter anderem zwei Ausnahmen: (a) die Besteuerung nach der "remittance-basis" und (b) das subsidiäre Besteuerungsrecht mittels einer sog. "Subject-to-tax-Klausel" (Peter Locher, Einführung in das internationale Steuerrecht der Schweiz, Bern 2005, S. 202 f.). Solche Ausnahmen müssen aber aus-drücklich vorgesehen werden (Robert Waldburger, Zur remittance clause im DBA-UK, veröffentlicht in IFF Forum für Steuerrecht St. Gallen [FStR] 2003/2, S. 140 Ziff. 3.3.1.3).</w:t>
      </w:r>
    </w:p>
    <w:p>
      <w:r>
        <w:rPr>
          <w:b/>
        </w:rPr>
        <w:t>E. 4.2.1</w:t>
      </w:r>
    </w:p>
    <w:p>
      <w:r>
        <w:t>Das Steuerrecht Grossbritanniens unterscheidet für natürliche Per-sonen drei verschiedene Arten des steuerlichen Status: "resident", "ordi-narily resident" und "domiciled". Personen, die kumulativ "resident", "ordi-narily resident" und "domiciled" sind, unterliegen mit ihrem weltweiten Einkommen der Steuerpflicht in Grossbritannien. Personen hingegen, die nicht alle diese drei Merkmale erfüllen, sind je nach ihrem Status für be-stimmte Einkommensteile nur dann in Grossbritannien steuerpflichtig, wenn diese entweder ihre Quelle in Grossbritannien haben oder wenn sie dorthin überwiesen (engl. "remitted") werden. Diese Besteuerung wird deshalb "taxation on remittance basis" genannt (Waldburger, a.a.O., Ziff. 1.2). Verschiedene Staaten habe dieses Besteuerungssystem über-nommen. Nach britischem Vorbild haben in diesen Staaten diejenigen na-türlichen Personen, die den erwähnten besonderen Steuerstatus genies-sen, demnach ausländische Einkünfte im Ansässigkeitsstaat erst und nur dann zu versteuern, wenn diese vom Ausland dorthin überwiesen ("remit-ted") worden sind. In der Folge sehen die einschlägigen DBA mit diesen Staaten, die eine Besteuerung nach dem "Remittance-Basis-Prinzip" kennen, oft vor, dass entsprechend auch der Quellenstaat Freistellung oder Steuerermässigung nur gewährt, soweit die Einkünfte in den Ansäs-sigkeitsstaat überwiesen - und somit dort steuerpflichtig - sind. Sie ent-halten demensprechen eine sog. "Remittance-Klausel" (Klaus Vogel/Moris Lehner, Doppelbesteuerungsabkommen, München 2008, vor Art. 6-22, Rz. 18; Xavier Oberson, Précis de droit fiscal international, 3. Auflage, Bern 2009, Rz. 308 f.).</w:t>
      </w:r>
    </w:p>
    <w:p>
      <w:r>
        <w:rPr>
          <w:b/>
        </w:rPr>
        <w:t>E. 4.2.2</w:t>
      </w:r>
    </w:p>
    <w:p>
      <w:r>
        <w:t>Gelegentlich machen DBA die vom Nichtansässigkeitsstaat als Quellenstaat zu gewährende Steuerbefreiung oder Steuerermässigung für bestimmte Einkünfte davon abhängig, dass die betreffenden Einkünfte im Ansässigkeitsstaat tatsächlich einer Besteuerung unterliegen (sog. "Subject-to-tax-Klausel" [angewandt auf den Quellenstaat]; vgl. Vogel/Lehner, a.a.O., vor Art. 6-22, Rz. 19). Der Quellenstaat erhält in die-sem Fall ein subsidiäres Besteuerungsrecht. Dieses führt bloss noch zu einer bedingten Befreiung bzw. Ermässigung und wendet sich nur gegen die effektive, nicht aber die virtuelle Doppelbesteuerung (Locher, a.a.O., S. 203).</w:t>
      </w:r>
    </w:p>
    <w:p>
      <w:r>
        <w:rPr>
          <w:b/>
        </w:rPr>
        <w:t>E. 5.1</w:t>
      </w:r>
    </w:p>
    <w:p>
      <w:r>
        <w:t>Art. 10 Abs. 1 DBA-Si legt fest, dass Dividenden, die eine in einem Vertragsstaat ansässige Gesellschaft an eine in dem anderen Vertrags-staat ansässige Person zahlt, in dem anderen Staat besteuert werden können. Gemäss Abs. 2 der genannten Bestimmung können diese Divi-denden jedoch in dem Vertragsstaat, in dem die Dividenden zahlende Gesellschaft ansässig ist, nach dem Recht dieses Staates besteuert wer-den; die Steuer darf aber, wenn der Empfänger der Dividenden nut-zungsberechtigt ist, folgende Beträge nicht übersteigen: 10% des Brutto-betrages der Dividenden, wenn der Empfänger eine Gesellschaft (ausge-nommen eine Personengesellschaft) ist, die unmittelbar über mindestens 25% des Aktienkapitals der die Dividenden zahlende Gesellschaft verfügt (Bst. a) und in allen anderen Fällen 15% des Bruttobetrages der Dividen-den (Bst. b).</w:t>
      </w:r>
    </w:p>
    <w:p>
      <w:r>
        <w:rPr>
          <w:b/>
        </w:rPr>
        <w:t>E. 5.2</w:t>
      </w:r>
    </w:p>
    <w:p>
      <w:r>
        <w:t>Nach Art. 11 Abs. 1 DBA-Si können Zinsen, die aus einem Vertrags-staat stammen und an eine in dem anderen Vertragsstaat ansässige Per-son gezahlt werden, in dem anderen Staat besteuert werden. Diese Zinsen können jedoch in dem Vertragsstaat, aus dem sie stammen, nach dem Recht dieses Staates besteuert werden; die Steuer darf aber, wenn der Empfänger der Zinsen nutzungsberechtigt ist, 10% des Bruttobetrages der Zinsen nicht übersteigen. Die zuständigen Behörden der Vertragsstaaten regeln in gegenseitigem Einvernehmen, wie diese Begren-zungsbestimmung anzuwenden ist (Art. 11 Abs. 2 DBA-Si).</w:t>
      </w:r>
    </w:p>
    <w:p>
      <w:r>
        <w:rPr>
          <w:b/>
        </w:rPr>
        <w:t>E. 5.3</w:t>
      </w:r>
    </w:p>
    <w:p>
      <w:r>
        <w:t>Das DBA-Si enthält in Art. 21 eine sog. "Remittance-Klausel" (vgl. oben E. 4.2.1). Sie lautet wie folgt: "Stehen nach dem Abkommen Ein-künfte aus schweizerischen Quellen im Genuss einer Entlastung von der schweizerischen Steuer und wird eine Person für diese Einkünfte nach der in Singapur geltenden Gesetzgebung nicht mit dem vollen Betrag, sondern nur mit dem Teilbetrag besteuert, der nach Singapur überwiesen oder dort bezogen wird, so soll die nach dem Abkommen in der Schweiz zu gewährende Steuerentlastung nur auf den Teil der Einkünfte Anwen-dung finden, der nach Singapur überwiesen oder dort bezogen wird". In der englischsprachigen Fassung lautet der entsprechende Artikel des DBA-Si: "Where under any provision of the Convention income from a source within Switzerland is relieved from Swiss tax and, under the law in force in Singapore a person, in respect of the said income, is subject to tax by reference to the amount thereof which is remitted to or received in Singapore and not by reference to the full amount thereof, then the relief to be allowed unter the Convention in Switzerland shall apply only to so much of the income as is remitted to or received in Singapore".</w:t>
      </w:r>
    </w:p>
    <w:p>
      <w:r>
        <w:rPr>
          <w:b/>
        </w:rPr>
        <w:t>E. 5.4.1</w:t>
      </w:r>
    </w:p>
    <w:p>
      <w:r>
        <w:t>Als völkerrechtlicher Vertrag im Sinne von Art. 2 Abs. 1 Bst. a des Wiener Übereinkommens vom 23. Mai 1969 über das Recht der Verträge (Wiener Übereinkommen, Vertragsrechtskonvention, VRK, SR 0.111; in Kraft getreten für die Schweiz am 6. Juni 1990) ist das DBA-Si - unter Vorbehalt speziellerer Regeln (BVGE 2010/7 E. 3.6.1)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Les Conventions de Vienne,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S. 121 Rz. 17; vgl. zur ganzen Erwä-gung auch Urteil des Bundesverwaltungsgerichts A-4911/2010 vom 30. November 2010 E. 4.1).</w:t>
      </w:r>
    </w:p>
    <w:p>
      <w:r>
        <w:rPr>
          <w:b/>
        </w:rPr>
        <w:t>E. 5.4.2</w:t>
      </w:r>
    </w:p>
    <w:p>
      <w:r>
        <w:t>Den Ausgangspunkt der Auslegung bildet der Wortlaut der vertrag-lichen Bestimmung (Sorel, a.a.O., N. 8 und 29 zu Art. 31 VRK; Villiger, Vienna Convention, N. 30 zu Art. 31 VRK; ders., Articles, S. 324, S. 327). Der Text der Vertragsbestimmung ist aus sich selbst heraus gemäss seiner gewöhnlichen Bedeutung zu interpretieren. Diese gewöhnliche Bedeutung ist jedoch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 Urteil des Bundesverwaltungsgerichts A-4013/2010 vom 15. Juli 2010 E. 4.6.2). Gemäss Art. 33 Abs. 1 VRK sind bei mehrsprachigen Verträgen die ver-schiedenen sprachlichen Fassungen in gleicher Weise verbindlich. Dabei wird vermutet, dass die Ausdrücke des Vertrags in jedem authentischen Text dieselbe Bedeutung haben (Art. 33 Abs. 3 VRK). Wenn ein Vergleich der authentischen Texte einen Bedeutungsunterschied aufdeckt, welcher nicht durch die Anwendung der in Art. 31 und 32 VRK erwähnten Ausle-gungsmittel ausgeräumt werden kann, ist diejenige Auslegung zu wählen, welche die Texte am besten miteinander in Einklang bringt (Art. 33 Abs. 4 VRK).</w:t>
      </w:r>
    </w:p>
    <w:p>
      <w:r>
        <w:rPr>
          <w:b/>
        </w:rPr>
        <w:t>E. 5.4.3</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BVGE 2010/7 E. 3.5.2) noch auf Elemente ausserhalb des Textes. Art. 31 Abs. 3 VRK definiert sodann diejenigen Elemente, welche als so genannter «contexte externe» gleich wie der Zusammenhang bei der Auslegung zu berücksichtigen sind. Gemäss Art. 31 Abs. 3 Bst. c VRK ist in diesem Sinn auch jeder in den Beziehungen zwischen den Ver-tragsparteien anwendbare einschlägige Völkerrechtssatz in die Auslegung einzubeziehen (Villiger, Vienna Convention, N. 15 ff. zu Art. 31 VRK; Sorel, a.a.O., N. 42 ff. zu Art. 31 VRK). Es existiert somit keine Hierarchie zwischen Art. 31 Abs. 2 und 3 VRK (BVGE 2010/7 E. 3.5.4; Sorel, a.a.O., N. 8 zu Art. 31 VRK).</w:t>
      </w:r>
    </w:p>
    <w:p>
      <w:r>
        <w:rPr>
          <w:b/>
        </w:rPr>
        <w:t>E. 5.4.4</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(Villiger, Vienna Convention, N. 13 zu Art. 31; BVGE 2010/7 E. 3.5.2; Urteil des Bundes-verwaltungsgerichts A-6053/2010 vom 10. Januar 2011 E. 5.1.3; ferner Xavier Oberson, Précis de droit fiscal international, 3. Aufl., Bern 2009, N. 93).</w:t>
      </w:r>
    </w:p>
    <w:p>
      <w:r>
        <w:rPr>
          <w:b/>
        </w:rPr>
        <w:t>E. 5.5.1</w:t>
      </w:r>
    </w:p>
    <w:p>
      <w:r>
        <w:t>Die Botschaft des Bundesrats vom 15. März 1976 über ein DBA mit Singapur (nachfolgend: Botschaft DBA-Si; BBl 1976 1278 ff.) führt zu Art. 21 aus: "Singapur besteuert dort ansässige Personen in bestimmten Fällen für Einkünfte aus dem Ausland nicht voll, sondern nur für den nach Singapur überwiesenen Betrag (Besteuerung auf der sogenannten "remit-tance basis"). In diesem Fall gelten die schweizerischerseits im Abkom-men zugestandenen Steuerentlastungen nur für die in Singapur tatsächlich besteuerten Einkommensteile" (BBl 1976 1282).</w:t>
      </w:r>
    </w:p>
    <w:p>
      <w:r>
        <w:rPr>
          <w:b/>
        </w:rPr>
        <w:t>E. 5.5.2</w:t>
      </w:r>
    </w:p>
    <w:p>
      <w:r>
        <w:t>Der Kommentar zum OECD-Musterabkommen erwähnt die Be-steuerung nach dem "Remittance-Basis-Prinzip" und überlässt die Ent-scheidung über die Vereinbarung einer solchen Klausel den Ver-tragsstaaten. Der Kommentar enthält diesbezüglich eine Musterklausel. Diese lautet: "Where under any provision of this Convention income aris-ing in a Contracting State is relieved in whole or in part from tax in that State and under the law in force in the other Contracting State a person, in respect of the said income, is subject to tax by reference to the amount thereof which is remitted to or received in that other State and not by ref-erence to the full amount thereof, then any relief provided by the provi-sions of this Convention shall apply only to so much of the income as is taxed in the other Contracting State" (vgl. Model Tax Convention on In-come and on Capital, condensed version, OECD, Fassung vom 17. Juli 2008, Rz. 26.1 zu Art. 1).</w:t>
      </w:r>
    </w:p>
    <w:p>
      <w:r>
        <w:rPr>
          <w:b/>
        </w:rPr>
        <w:t>E. 6</w:t>
      </w:r>
    </w:p>
    <w:p>
      <w:r>
        <w:t>Im vorliegenden Fall erhielt der Beschwerdeführer, damals wohnhaft in Singapur, in den Jahren 2003-2008 Dividenden von Unternehmen mit Sitz in der Schweiz sowie Zinsen auf seinen inländischen Bankkonten gutge-schrieben. Die ESTV erhob darauf 35% Verrechnungssteuer. Strittig ist, ob der Beschwerdeführer Anspruch auf Rückerstattung der Verrech-nungssteuer hat.</w:t>
      </w:r>
    </w:p>
    <w:p>
      <w:r>
        <w:rPr>
          <w:b/>
        </w:rPr>
        <w:t>E. 6.1</w:t>
      </w:r>
    </w:p>
    <w:p>
      <w:r>
        <w:t>Nach Art. 7A Bst. b des "Income Tax Act, Part IV" von Singapur wird grundsätzlich jegliches Einkommen von Quellen ausserhalb Singapurs, das von natürlichen Personen nach dem 1. Januar 2004 in Singapur empfangen worden ist, von der Steuer befreit. Von dieser Steuerbefreiung profitieren nach dem Wortlaut der genannten Bestimmung alle natürlichen Personen, die in Singapur "resident" sind, gleichermassen (vgl. "Income Tax Act" abgerufen am 7. März 2011 auf der Internetseite http://statutes.agc.gov.sg). Das Steuerrecht in Singapur unterscheidet diesbezüglich somit nicht mehr zwischen dem Steuerstatus "resident" und "resident but not domiciled".</w:t>
      </w:r>
    </w:p>
    <w:p>
      <w:r>
        <w:rPr>
          <w:b/>
        </w:rPr>
        <w:t>E. 6.2</w:t>
      </w:r>
    </w:p>
    <w:p>
      <w:r>
        <w:t>Der Beschwerdeführer war in der vorliegend relevanten Zeit in Sin-gapur im Sinn von Art. 1 DBA-Si ansässig. Ein besonderer Steuerstatus ergibt sich nicht aus den Akten. Das DBA-Si ist damit auf ihn anwendbar. Er erhielt Dividenden von in der Schweiz ansässigen Gesellschaften. Diese Dividenden konnte Singapur nach Art. 10 Abs. 1 DBA-Si besteuern. In der Schweiz durfte gemäss Art. 10 Abs. 2 Bst. b DBA-Si nur eine ma-ximale Besteuerung von 15% des Bruttobetrages der Dividenden erfolgen. Ähnliches gilt hinsichtlich der dem Beschwerdeführer auf seinen inländischen Bankkonten gutgeschriebenen Zinsen. Nach Art. 11 Abs. 1 DBA-Si ist Singapur zu deren Besteuerung berechtigt. Die Schweiz kann diese gemäss Art. 11 Abs. 2 DBA nur bis maximal 10% des Bruttobetrages besteuern. Diese Auslegung ist grundsätzlich unbestritten. Strittig ist hingegen, ob der Beschwerdeführer in den Genuss der er-wähnten Steuerentlastung durch die Schweiz kommen kann, obwohl die Einkünfte aus der Schweiz in Singapur nicht besteuert worden sind. Die ESTV ist der Ansicht, Art. 21 DBA-Si verbiete dies, da nach dieser Be-stimmung die betreffenden Einkünfte in Singapur tatsächlich besteuert werden müssten, damit es zu der Steuerentlastung in der Schweiz ge-mäss Art. 10 und 11 DBA-Si kommen könne.</w:t>
      </w:r>
    </w:p>
    <w:p>
      <w:r>
        <w:rPr>
          <w:b/>
        </w:rPr>
        <w:t>E. 6.3</w:t>
      </w:r>
    </w:p>
    <w:p>
      <w:r>
        <w:t>Im Folgenden ist Art. 21 DBA-Si auszulegen (vgl. E. 5.4). Ausgangs-punk der Auslegung bildet der Wortlaut der vertraglichen Bestimmung gemäss seiner gewöhnlichen Bedeutung (E. 6.3.1). Im Weiteren ist Art. 21 DBA-Si unter Berücksichtigung seines Ziels und Zwecks (E. 6.3.2) und seines Zusammenhangs (E. 6.3.3) auszulegen. Schliesslich werden die Vertragsmaterialien als ergänzende Auslegungsmittel betrachtet (E. 6.3.4).</w:t>
      </w:r>
    </w:p>
    <w:p>
      <w:r>
        <w:rPr>
          <w:b/>
        </w:rPr>
        <w:t>E. 6.3.1.1</w:t>
      </w:r>
    </w:p>
    <w:p>
      <w:r>
        <w:t>Art. 21 DBA-Si enthält zwei Tatbestandsmerkmale bzw. Voraus-setzungen und eine Rechtsfolge: - Voraussetzung Nr. 1: "Stehen nach dem Abkommen Einkünfte aus schweizerischen Quellen im Genuss einer Entlastung von der schwei-zerischen Steuer..." - Voraussetzung Nr. 2: "...und wird eine Person für diese Einkünfte nach der in Singapur geltenden Gesetzgebung nicht mit dem vollen Betrag, sondern nur mit dem Teilbetrag besteuert, der nach Singapur überwiesen oder dort bezogen wird..." - Rechtsfolge: "...so soll die nach dem Abkommen in der Schweiz zu gewährende Steuerentlastung nur auf den Teil der Einkünfte Anwen-dung finden, der nach Singapur überwiesen oder dort bezogen wird." Die genannte Rechtsfolge tritt nur ein, wenn beide Voraussetzungen (Nr.1 und 2) kumulativ erfüllt sind. Die englische Fassung von Art. 21 DBA-Si ist insoweit inhaltlich mit der deutschen identisch. Ein Bedeutungsunterschied im Sinn von Art. 33 Abs. 4 VRK liegt nicht vor.</w:t>
      </w:r>
    </w:p>
    <w:p>
      <w:r>
        <w:rPr>
          <w:b/>
        </w:rPr>
        <w:t>E. 6.3.1.2</w:t>
      </w:r>
    </w:p>
    <w:p>
      <w:r>
        <w:t>Die Auslegung von Art. 21 DBA-Si nach dem Wortlaut ergibt, dass bei einer Entlastung von der schweizerischen Steuer gemäss Art. 10 und 11 DBA-Si (Voraussetzung Nr. 1) nur unter der Voraussetzung, dass eine natürliche Person in Singapur den besonderen Status der Besteuerung nach dem "Remittance-Basis-Prinzip" geniesst (Voraussetzung Nr. 2), eine Einschränkung der Entlastung erfolgen kann (Rechtsfolge). Nimmt Singapur keine Besteuerung nach dem "Remittance-Basis-Prinzip" vor, ist der Tatbestand von Art. 21 DBA-Si nicht erfüllt und dessen Rechtsfolge, "die Steuerentlastung nur auf dem Teil der Einkünfte, der nach Singapur überwiesen oder dort bezogen wird" zu gewähren, kommt nicht zum Tra-gen.</w:t>
      </w:r>
    </w:p>
    <w:p>
      <w:r>
        <w:rPr>
          <w:b/>
        </w:rPr>
        <w:t>E. 6.3.1.3</w:t>
      </w:r>
    </w:p>
    <w:p>
      <w:r>
        <w:t>Unbestrittermassen sind vorliegend die Dividenden und Zinsen in Singapur nicht besteuert worden. Die Steuerbefreiung entspricht der Re-gelung von Art. 7A Bst. b des "Income Tax Act, Part IV" von Singapur (E. 6.1). Zudem bestätigte die Steuerverwaltung Singapur auf den ent-sprechenden Rückerstattungsformularen der ESTV (Form 60) mehrfach, dass die entsprechenden Einkünfte nicht mehr auf "remittance-basis" be-steuert würden. Es ist demnach erwiesen, dass die vom Beschwerdeführer empfangenen Dividenden und Zinsen in Singapur nicht steuerbar waren.</w:t>
      </w:r>
    </w:p>
    <w:p>
      <w:r>
        <w:rPr>
          <w:b/>
        </w:rPr>
        <w:t>E. 6.3.1.4</w:t>
      </w:r>
    </w:p>
    <w:p>
      <w:r>
        <w:t>Die Auslegung nach dem Wortlaut von Art. 21 DBA-Si ergibt, dass der Tatbestand von Art. 21 DBA-Si nicht erfüllt ist, da keine Besteuerung nach dem "Remittance-Basis-Prinzip" erfolgte. Aus diesem Grund ist die die von der Schweiz zu gewährende Steuerentlastung nach Art. 10 und 11 DBA-Si nicht einzuschränken.</w:t>
      </w:r>
    </w:p>
    <w:p>
      <w:r>
        <w:rPr>
          <w:b/>
        </w:rPr>
        <w:t>E. 6.3.2</w:t>
      </w:r>
    </w:p>
    <w:p>
      <w:r>
        <w:t>Sinn und Zweck von Art. 21 DBA-Si ist es, Personen, die in Singa-pur den besonderen Steuerstatus der "taxation on remittance basis" ge-niessen, umfassend von den Abkommensvorteilen auszuschliessen, wenn keine "remittance" nach Singapur erfolgt. Die Schweiz ist nicht bereit, auf ihr nach internem Recht zustehendes Steuersubstrat zu verzichten, wenn eine natürliche Person in Singapur den beschriebenen besonderen Steuerstatus geniesst und dort eine Besteuerung mangels Überweisung unterbleibt (vgl. Waldburger, a.a.O, Ziff. 3.3.3 zur analogen Klausel in Art. 27 Abs. 1 DBA-UK). Die Auslegung von Art. 21 DBA-Si nach Ziel und Zweck ergibt damit, dass eine Einschränkung der Abkommensvorteile nur dann gerechtfertigt ist, wenn die betreffende natürliche Person in Singapur den erwähnten besonderen Status der Besteuerung nach der "remittance-basis" geniesst. Dies ist vorliegenden bezüglich der erhaltenen Dividenden und Zinsen nicht der Fall. Die Auslegung nach dem Ziel und Zweck von Art. 21 DBA-Si führt damit ebenfalls zum Ergebnis, dass keine Einschränkung der Steuerentlastung nach Art. 10 bzw. 11 DBA-Si erfolgen darf.</w:t>
      </w:r>
    </w:p>
    <w:p>
      <w:r>
        <w:rPr>
          <w:b/>
        </w:rPr>
        <w:t>E. 6.3.3</w:t>
      </w:r>
    </w:p>
    <w:p>
      <w:r>
        <w:t>Systematisch befindet sich die "Remittance-Klausel" im DBA-Si im Anschluss an die einzelnen Einkunftsarten. Die Klausel ist deshalb auf sämtliche im DBA-Si vorgängig genannten Einkünfte aus schweizerischen Quellen anwendbar, die im Genuss einer Entlastung von der schweizerischen Steuer stehen. Art. 21 DBA-Si stellt jedoch eine lex spe-cialis für den dort genannten Personenkreis dar, der in Singapur der Be-steuerung nach dem "Remittance-Basis-Prinzip" unterliegt (Waldburger, a.a.O., Ziff. 3.3.4 zur analogen Regelung von Art. 27 Abs. 1 DBA-UK). Auch eine Auslegung von Art. 21 DBA-Si in seinem Zusammenhang führt damit zum Ergebnis, dass im vorliegenden Fall keine Einschränkung der Steuerentlastung nach Art. 10 bzw. 11 DBA-Si erfolgen darf, da der Beschwerdeführer nicht unter die lex specialis von Art. 21 DBA-Si fällt.</w:t>
      </w:r>
    </w:p>
    <w:p>
      <w:r>
        <w:rPr>
          <w:b/>
        </w:rPr>
        <w:t>E. 6.3.4</w:t>
      </w:r>
    </w:p>
    <w:p>
      <w:r>
        <w:t>Ebenfalls zum gleichen Ergebnis führen die ergänzenden Ausle-gungsmittel, die bei der Auslegung von DBA nach Art. 32 VRK herange-zogen werden können, um u.a. die sich unter Anwendung des Art. 31 VRK ergebende Bedeutung zu bestätigen (E. 5.4.1). Die Botschaft DBA-Si hält fest, dass Singapur "dort ansässige Personen in bestimmten Fällen für Einkünfte aus dem Ausland nicht voll, sondern nur für den nach Singapur überwiesenen Betrag" besteuert. Nur "in diesem Fall gelten die schweizerischerseits im Abkommen zugestandenen Steuerentlastungen nur für die in Singapur tatsächlich besteuerten Einkommensteile" (E. 5.5.1). Auch nach der Botschaft muss somit als Voraussetzung eine Besteuerung nach der sog. "remittance basis" vorliegen, damit überhaupt - als Rechtsfolge - die von Seiten der Schweiz zugestandenen Steuer-entlastungen reduziert werden können. Im Weiteren bestätigt auch der OECD-Kommentar diese Auslegung ("Where.....under the law in force in the other Contracting State a person, in respect of the said income, is subject to tax by reference to the amount thereof which is remitted to or received in that other State and not by reference to to the full amount the-reof, then"..; vgl. E. 5.5.2). Er enthält ebenfalls die Voraussetzung der Be-steuerung nach dem "Remittance-Basis-Prinzip" für eine Einschränkung der Steuerentlastung. Sämtliche Auslegungselemente sprechen gegen die Auffassung der ESTV. Art. 21 DBA-Si stellt eine lex specialis dar, die als Tatbestandsvor-aussetzung die Besteuerung nach dem "Remittance-Basis-Prinzip" ver-langt. Werden die Einkünfte aus der Schweiz in Singapur nicht unter Zugrundelegung des Betrags besteuert, der nach dorthin überwiesen oder dort bezogen wird, anstatt unter Zugrundelegung des Gesamtbetrags der Einkünfte, kommt Art. 21 DBA-Si nicht zur Anwendung. Der Ansicht der ESTV, eine Rückerstattung könne vorliegend nicht erfolgen, da die Einkünfte in Singapur nicht einmal teilweise besteuert worden seien, ist somit nicht zu folgen. Die ESTV verkennt, dass - wie bereits mehrfach ausgeführt - gemäss Art. 21 DBA eine Besteuerung nach dem "Remittan-ce-Basis-Prinzip" in Singapur Voraussetzung für die Anwendbarkeit dieser Bestimmung darstellt. Das DBA-Si enthält eben gerade keine "Subject-to-tax-Klausel". Eine solche darf nicht in ein DBA hineininterpretiert werden. Dies hat die ESTV im Ergebnis zu Unrecht getan. Die vorliegende Auf-fassung, zu welcher das Bundesverwaltungsgericht nach der erwähnten Auslegung gelangt, deckt sich mit der ausdrücklich vereinbarten Regelung von Art. 22 Abs. 2 des unterzeichneten neuen DBA mit Singapur (noch nicht in Kraft getreten; zugänglich über die Internetseite http://www.news.admin.ch/NSBSubscriber/message/attachments/22222.pdf, abgerufen am 9. März 2011).</w:t>
      </w:r>
    </w:p>
    <w:p>
      <w:r>
        <w:rPr>
          <w:b/>
        </w:rPr>
        <w:t>E. 6.4.1</w:t>
      </w:r>
    </w:p>
    <w:p>
      <w:r>
        <w:t>Da Art. 21 DBA-Si nicht zur Anwendung kommt, richtet sich die Rückerstattung der Verrechnungssteuer nach Art. 10 und Art. 11 DBA-Si. Der Beschwerdeführer hat demnach Anspruch auf Rückerstattung von 20% des Bruttobetrages der Dividenden (35% minus 15%; vgl. Art. 10 Abs. 2 Bst. b DBA-Si) und von 25% des Bruttobetrages der Zinsen (35% minus 10%; vgl. Art. 11 Abs. 2 DBA-Si). Die Beschwerde ist in diesem Punkt gutzuheissen. Bei diesem Ergebnis erübrigt es sich, auf die Thematik des Vertrauensschutzes in die Auskünfte der ESTV vom 23. Februar 2006 und 3. Oktober 2006 einzugehen, da die Rückerstattung der Ver-rechnungssteuer im aufgezeigten Umfang ohnehin zu gewähren ist.</w:t>
      </w:r>
    </w:p>
    <w:p>
      <w:r>
        <w:rPr>
          <w:b/>
        </w:rPr>
        <w:t>E. 6.4.2</w:t>
      </w:r>
    </w:p>
    <w:p>
      <w:r>
        <w:t>Entgegen der Ansicht des Beschwerdeführers schuldet die ESTV auf dem zu erstattenden Betrag keine Vergütungszinsen. Solche sind grundsätzlich nur geschuldet, wenn dies gesetzlich vorgesehen ist (Urteil des Bundesgerichts 2C_410/2008 vom 20. Oktober 2008 E. 3.2; Urteil des Bundesverwaltungsgerichts A-6971/2008 vom 8. Juni 2009 E. 5.5 mit Hinweisen). Das DBA-Si sieht keinen Vergütungszins vor. Im Weiteren legt Art. 31 Abs. 4 VStG für die Rückerstattung im Inlandverhältnis explizit fest, dass zurückzuerstattende Beträge nicht verzinst werden. Es besteht kein Grund für die vorliegende Rückerstattung aufgrund des DBA-Si anders zu entscheiden.</w:t>
      </w:r>
    </w:p>
    <w:p>
      <w:r>
        <w:rPr>
          <w:b/>
        </w:rPr>
        <w:t>E. 6.4.3</w:t>
      </w:r>
    </w:p>
    <w:p>
      <w:r>
        <w:t>Der Beschwerdeführer macht schliesslich geltend, es sei zu prü-fen, ob Amtsmissbrauch, Verletzung der Sorgfaltspflicht und Willkür vor-liegen würden, da er fünfmal um einen anfechtbaren Entscheid anfragen musste und die ESTV keine Rechtsmittelbelehrung angegeben habe. Zu-dem sei die extrem lange Dauer zu beachten, welche die ESTV benötigt habe. Zunächst ist festzuhalten, dass das Bundesverwaltungsgericht für eine Prüfung, ob Amtsmissbrauch nach Art. 312 des Schweizerischen Strafge-setzbuches vom 21. Dezember 1937 (StGB, SR 311.0) gegeben ist, nicht zuständig ist. Im Weiteren hatte der Beschwerdeführer mit seinem Schreiben vom 4. September 2008, welches an das Bundesverwaltungs-gericht gerichtet und von diesem an die ESTV weitergeleitet worden war, erstmals (sinngemäss) um einen anfechtbaren Entscheid ersucht. Die ESTV nahm danach verschiedene Instruktionshandlungen vor (vgl. Schreiben vom 2. Oktober 2008 und vom 27. Oktober 2008, in denen die ESTV die Angabe eines Zustellungsdomizils in der Schweiz und eine ent-sprechende Vollmacht verlangte sowie Schreiben vom 25. Februar 2009, in dem die ESTV anfragte, ob eine freiwillige Besteuerung in Singapur er-folge). Einen anfechtbaren Entscheid erliess die ESTV schliesslich am 25. Februar 2010 und der Einspracheentscheid folgte am 27. Mai 2010. Die Dauer von knapp 21 Monaten zwischen der Aufforderung um Erlass eines anfechtbaren Entscheids und des Einspracheentscheids der ESTV stellt nach der Rechtsprechung keine unangemessen lange Verfahrensdauer dar (vgl. E. 2.2). Im Übrigen musste die ESTV noch Instruktions-handlungen vornehmen. Dies war offensichtlich zumindest auch mit ein Grund, weshalb der Beschwerdeführer mehrmals einen anfechtbaren Entscheid verlangen musste, da dieser - aus Sicht der ESTV - noch gar nicht spruchreif war. Die entsprechenden Rügen des Beschwerdeführers sind deshalb unbegründet. Ebenso unbegründet ist die Behauptung des Beschwerdeführers, die ESTV habe keine Rechtsmittelbelehrung ange-geben. Sowohl der Entscheid vom 25. Februar 2010 als auch der Ein-spracheentscheid vom 27. Mai 2010 enthalten eine solche. Im Übrigen ist die Behauptung des Beschwerdeführers nicht nachgewiesen, dass er sich zwischen November 2007 und März 2008 viermal vergeblich bei der ESTV nach dem möglichen Rechtsweg erkundigt habe.</w:t>
      </w:r>
    </w:p>
    <w:p>
      <w:r>
        <w:rPr>
          <w:b/>
        </w:rPr>
        <w:t>E. 6.5</w:t>
      </w:r>
    </w:p>
    <w:p>
      <w:r>
        <w:t>Der Einspracheentscheid vom 27. Mai 2010 ist aufzuheben. Da eine erstmalige Berechnung des Rückerstattungsanspruchs für die fraglichen Jahre 2006-2008 durchzuführen ist, weist das Bundesverwaltungsgericht die Sache an die ESTV zurück (E. 1.3). Im Übrigen hat auch der Be-schwerdeführer sinngemäss eine Rückweisung beantragt und legt in seiner Beschwerde keinen konkreten Rückerstattungsbetrag fest. Die ESTV hat dem Beschwerdeführer 20% des Bruttobetrages der Dividenden und 25% des Bruttobetrages der Zinsen, die der schweizerischen Verrech-nungssteuer unterlagen, zurückzuerstatten (vgl. E. 6.4.1).</w:t>
      </w:r>
    </w:p>
    <w:p>
      <w:r>
        <w:rPr>
          <w:b/>
        </w:rPr>
        <w:t>E. 7</w:t>
      </w:r>
    </w:p>
    <w:p>
      <w:r>
        <w:t>Nach dem Gesagten ist die Beschwerde im Sinn der Erwägungen teilwei-se gutzuheissen. Die Verfahrenskosten werden auf Fr. 2'500.-- festgelegt (Art. 4 des Reglements vom 21. Februar 2008 über die Kosten und Ent-schädigungen vor dem Bundesverwaltungsgericht [VGKE, SR 173.320.2]). Da es sich bei den abgewiesenen Beschwerdeanträgen um Nebenpunkte handelt, rechtfertigt es sich, dem teilweise unterliegenden Beschwerdeführer keine Verfahrenskosten aufzuerlegen. Der Vorinstanz können keine Verfahrenskosten auferlegt werden (Art. 63 Abs. 2 VwVG). Im Weiteren macht der teilweise obsiegende Beschwerdeführer Unkosten von Fr. 2'850.-- geltend, ohne diese näher zu spezifizieren. Da er nicht vertreten ist und auch keine weiteren notwendigen Auslagen im Sinn von Art. 13 VGKE nachgewiesen hat, ist dem Beschwerdeführer keine Parteientschädigung auszurichten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