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A-4650/2011 vom 10. Oktober 2011</w:t>
      </w:r>
    </w:p>
    <w:p>
      <w:r>
        <w:t>Bundesverwaltungsgericht, 2011-10-10, DE</w:t>
      </w:r>
    </w:p>
    <w:p>
      <w:r>
        <w:rPr>
          <w:b/>
        </w:rPr>
        <w:t xml:space="preserve">Quelle: </w:t>
      </w:r>
      <w:r>
        <w:t>https://mcp.opencaselaw.ch/entscheid/bvger_A-4650_2011</w:t>
      </w:r>
    </w:p>
    <w:p>
      <w:r>
        <w:t>FR: TAF A-4650/2011 du 10 octobre 2011</w:t>
      </w:r>
    </w:p>
    <w:p>
      <w:r>
        <w:t>IT: TAF A-4650/2011 del 10 ottobre 2011</w:t>
      </w:r>
    </w:p>
    <w:p>
      <w:pPr>
        <w:pStyle w:val="Heading2"/>
      </w:pPr>
      <w:r>
        <w:t>Regeste</w:t>
      </w:r>
    </w:p>
    <w:p>
      <w:r>
        <w:t>Ausstand</w:t>
      </w:r>
    </w:p>
    <w:p>
      <w:pPr>
        <w:pStyle w:val="Heading2"/>
      </w:pPr>
      <w:r>
        <w:t>Erwägungen</w:t>
      </w:r>
    </w:p>
    <w:p>
      <w:r>
        <w:rPr>
          <w:b/>
        </w:rPr>
        <w:t>E. 1.1</w:t>
      </w:r>
    </w:p>
    <w:p>
      <w:r>
        <w:t>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Das fedpol ist zudem als Behörde im Sinn von Art. 33 VGG zu qualifizieren. Das Bundesverwaltungsgericht ist daher im Hauptverfahren zuständig. Im Rahmen des Hauptverfahrens ist das Bundesverwaltungsgericht ebenfalls zur Behandlung von Fragen formeller Natur und damit auch zum Entscheid über Ausstandsbegehren zuständig (vgl. BVGE 2007/4 E. 1.1), wobei die Bestimmungen des Bundesgesetzes vom 17. Juni 2005 über das Bundesgericht (Bundesgerichtsgesetz, BGG, SR 173.110) über den Ausstand (Art. 34 ff. BGG) im Verfahren vor Bundesverwaltungsgericht sinngemäss gelten (Art. 38 VGG).</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(Zwischenentscheide des Bundesverwaltungsgerichts A-5698/2008 vom 20. Oktober 2008 E. 1.2 und A 3544/2010 vom 23. August 2010 E. 1.2).</w:t>
      </w:r>
    </w:p>
    <w:p>
      <w:r>
        <w:rPr>
          <w:b/>
        </w:rPr>
        <w:t>E. 1.3</w:t>
      </w:r>
    </w:p>
    <w:p>
      <w:r>
        <w:t>Ausstandsgründe, die der betroffenen Partei erst im Laufe des Verfahrens bekannt werden oder erst dann auftreten, sind umgehend geltend zu machen (vgl. Art. 36 Abs. 1 BGG). Die Zwischenverfügungen, die nach Auffassung des Beschwerdeführers die Befangenheit des Instruktionsrichters begründen, wurden am 4. und 11. August 2011 erlassen. Das am 19. August 2011 eingereichte Ausstandsbegehren kann als rechtzeitig entgegengenommen werden.</w:t>
      </w:r>
    </w:p>
    <w:p>
      <w:r>
        <w:rPr>
          <w:b/>
        </w:rPr>
        <w:t>E. 2</w:t>
      </w:r>
    </w:p>
    <w:p>
      <w:r>
        <w:t>Art. 34 Abs. 1 BGG gewährleistet - wie schon Art. 30 Abs. 1 der Bundesverfassung der Schweizerischen Eidgenossenschaft vom 18. April 1999 (BV, SR 101) und Art. 6 Ziff. 1 der Konvention vom 4. November 1950 zum Schutze der Menschenrechte und Grundfreiheiten (EMRK, SR 0.101) - die Beurteilung durch ein unparteiisches, unbefangenes und unvoreingenommenes Gericht. Nach der Rechtsprechung des Bundesgerichts zu Art. 30 Abs. 1 BV, welche bei der Auslegung und Anwendung von Art. 34 BGG sinngemäss heranzuziehen ist, muss zur Ablehnung einer Gerichtsperson nicht deren tatsächliche Befangenheit nachgewiesen werden. Es reicht aus, wenn Umstände vorliegen, die den Anschein der Befangenheit und die Gefahr der Voreingenommenheit zu begründen vermögen, wobei jedoch das Misstrauen in die Unvoreingenommenheit in objektiver Weise begründet erscheinen muss und nicht auf das subjektive Empfinden einer Partei abgestellt werden kann. Die Tatsache, die den Ausstandsgrund bewirkt, muss von der Partei, die sich darauf berufen will, zumindest glaubhaft gemacht werden (BGE 133 I 89 E. 3.2, BGE 131 I 113 E. 3.4, je mit Hinweisen). In Art. 34 Abs. 1 Bst. a-e BGG werden die einzelnen Ausstandsgründe genannt: persönliches Interesse (Bst. a); Tätigkeit in anderer Stellung in der gleichen Sache (Bst. b); Verwandtschaft, Ehe, Partnerschaft und Lebensgemeinschaft (Bst. c und Bst. d); andere Gründe (Bst. e). Bei Art. 34 Abs. 1 Bst. e BGG, auf den der Beschwerdeführer sein Ausstandsbegehren sinngemäss stützt, handelt es sich im Verhältnis zu Art. 34 Abs. 1 Bst. a-d BGG um einen Auffangtatbestand. Die Ausstandsregelung steht in einem gewissen Spannungsverhältnis zum Anspruch auf ein gesetzmässiges Gericht (Art. 30 Abs. 1 BV) und auf Beurteilung der Streitsache durch einen auf abstrakte Weise bestimmten Spruchkörper (Art. 24 VGG i.V.m. Art. 32 Abs. 1 zweiter Satz und Art. 31 Abs. 3 VGR). Bei Fehlen eines Ausstandsgrunds hat namentlich eine allfällige Gegenpartei Anspruch darauf, dass die Streitsache durch den ursprünglich vorgesehenen Spruchkörper und nicht durch andere Richter oder Richterinnen beurteilt wird. Aus diesen Gründen muss der Ausstand eine Ausnahme bleiben. Die persönliche Unbefangenheit eines Richters oder einer Richterin ist deshalb im Grundsatz zu vermuten, und von der gesetzlichen Zuständigkeitsordnung darf - auch im Interesse einer beförderlichen Rechtspflege (vgl. Art. 29 Abs. 1 BV) - nicht leichthin abgewichen werden (vgl. zum Ganzen: BGE 134 I 20 E. 4.2, BGE 133 I 1 E. 5.2 und 6.2, BGE 122 II 477 E. 3b, BGE 116 Ia 19 E. 4; Urteil des Bundesgerichts 2C_171/2007 / 2C_283/2007 vom 19. Oktober 2007 E. 5.1; Zwischenentscheid des Bundesverwaltungsgerichts C-787/2008 vom 29. Februar 2008).</w:t>
      </w:r>
    </w:p>
    <w:p>
      <w:r>
        <w:rPr>
          <w:b/>
        </w:rPr>
        <w:t>E. 3</w:t>
      </w:r>
    </w:p>
    <w:p>
      <w:r>
        <w:t>Der Beschwerdeführer bringt in seiner Eingabe vom 2. September 2011 zunächst vor, es könnte auch gegen Richter André Moser, Instruktionsrichter im vorliegenden Ausstandsverfahren, ein Ausstandsgrund bestehen, da dieser in einem anderen vor Bundesverwaltungsgericht hängigen Verfahren betreffend Rechtsverweigerung ebenfalls als Instruktionsrichter eingesetzt sei. Sein Einwand begründet der Beschwerdeführer indes nicht näher, weshalb unklar bleibt, ob der Beschwerdeführer tatsächlich auch die vorliegende Besetzung des Spruchkörpers beanstandet oder nicht. Selbst wenn die besagte Eingabe des Beschwerdeführers als Ausstandsbegehren gegen Richter André Moser zu qualifizieren wäre, so wäre darauf nicht einzutreten: Weder bildet die Mitwirkung in einem früheren Verfahren (vgl. Art. 34 Abs. 2 BGG) noch jene in einem ebenfalls vor dem Bundesverwaltungsgericht hängigen und den Beschwerdeführer betreffenden Verfahren für sich allein einen hinreichenden Ausstandsgrund (gemäss Art. 34 Abs. 1 Bst. b. BGG). Bei einer solchen Ausgangslage ist es gemäss bundesgerichtlicher Rechtsprechung ohne weiteres zulässig, wenn die vom Begehren betroffene Gerichtsperson selbst an der Feststellung der Unzulässigkeit mitwirkt (Urteil des Bundesge­richts 2C_253/2007 vom 26. Juni 2007 E. 2 mit Hinweisen insb. auf BGE 114 Ia 278 E. 1, 105 Ib 301 E. 1c; vgl. ferner Urteil des Bundesge­richts 6B_463/2009 vom 20. Juli 2009 E. 2.3.3). Die Prüfung ist somit nachfolgend auf das Ausstandsbegehren des Beschwerdeführers vom 19. August 2011 gegen Beat Forster, Instruktionsrichter im Verfahren A-3763/2011, zu beschränken.</w:t>
      </w:r>
    </w:p>
    <w:p>
      <w:r>
        <w:rPr>
          <w:b/>
        </w:rPr>
        <w:t>E. 4.1</w:t>
      </w:r>
    </w:p>
    <w:p>
      <w:r>
        <w:t>Der Beschwerdeführer macht in seinem Ausstandsgesuch vom 19. August 2011 sinngemäss geltend, der eingesetzte Richter Beat Forster erscheine aufgrund seiner Verfahrensführung im Verlaufe des Instruktionsverfahrens als befangen. Nach der höchstrichterlichen Rechtsprechung ist davon auszugehen, dass durch die Vornahme der üblichen Prozesshandlungen in der Regel, d.h. beim Fehlen besonderer Umstände, kein Ausstandsgrund gesetzt wird. So wird in BGE 131 I 118 E. 3.6 festgehalten, mehrfache Funktionen einer Gerichtsperson, die sich in demselben Verfahren wiederholt mit einer Streitsache zu befassen habe, begründeten für sich allein nicht ohne weiteres einen Ausstandsgrund. Eine den Ausstand begründende Befangenheit ist ausschliesslich in den Fällen anzunehmen, in denen sich in richterlichen Fachfehlern während des Instruktionsverfahrens gleichzeitig eine Haltung manifestiert, die auf fehlender Distanz und Neutralität beruht. Darauf kann aber erst dann geschlossen werden, wenn besonders krasse und wiederholte Irrtümer vorliegen, die einer schweren Amtspflichtsverletzung gleichkommen und sich einseitig zu Lasten einer der Prozessparteien auswirken können (BGE 125 I 119 E. 3e mit weiteren Hinweisen; Urteile des Bundesgerichts 1B_60/2008 vom 4. Juni 2008 E. 4 und 1B_234/2007 vom 31. Januar 2008 E. 4.4; Regina Kiener, Richterliche Unabhängigkeit, Verfassungsrechtliche Anforderungen an Richter und Gerichte, Bern 2001, S. 105 f.). Strittig und zu prüfen ist daher, ob konkrete Anhaltspunkte für die Annahme von qualifizierten Fehlern in der Verfahrensführung durch Instruktionsrichter Beat Forster vorliegen, wie dies vom Beschwerdeführer geltend gemacht wird.</w:t>
      </w:r>
    </w:p>
    <w:p>
      <w:r>
        <w:rPr>
          <w:b/>
        </w:rPr>
        <w:t>E. 4.2</w:t>
      </w:r>
    </w:p>
    <w:p>
      <w:r>
        <w:t>Der Beschwerdeführer führt zunächst an, der Instruktionsrichter habe es versäumt, sein eingereichtes Sistierungsgesuch zu behandeln. Damit sei sein Anspruch auf Wahrung des rechtlichen Gehörs verletzt worden. Dem hält der Instruktionsrichter in seiner Stellungnahme vom 31. August 2011 entgegen, er habe mit dem Sistierungsentscheid abwarten wollen, bis sich der Beschwerdeführer zum Verfahrensstand gemäss Zwischenverfügung vom 11. August 2011 geäussert haben werde. Nach bundesgerichtlichter Rechtsprechung muss eine Sistierung des Beschwerdeverfahrens durch zureichende Gründe gerechtfertigt sein. Andernfalls wäre von einer mit dem Beschleunigungsgebot von Art. 29 Abs. 1 BV nicht zu vereinbarenden Rechtsverzögerung auszugehen (BGE 130 V 90 E. 5). Beim Entscheid darüber, ob das Verfahren zu sistieren ist, steht dem Richter oder der Richterin ein erheblicher Ermessensspielraum zu (BGE 119 II 386 E. 1b, André Moser/Michael Beusch/Lorenz Kneubühler, Prozessieren vor dem Bundesverwaltungsgericht, Basel 2008, S. 113 f. Rz. 3.14 ff. mit weiteren Hinweisen). Vorliegend lag es somit grundsätzlich im Ermessen von Beat Forster, als Instruktionsrichter zu beurteilen, ob das Verfahren auf Ersuchen des Beschwerdeführers sistiert werden kann. Aus nachvollziehbaren Gründen wurde dies von ihm zum damaligen Zeitpunkt verneint.</w:t>
      </w:r>
    </w:p>
    <w:p>
      <w:r>
        <w:rPr>
          <w:b/>
        </w:rPr>
        <w:t>E. 4.3</w:t>
      </w:r>
    </w:p>
    <w:p>
      <w:r>
        <w:t>Hinsichtlich der zweiten Zwischenverfügung vom 11. August 2011 rügt der Beschwerdeführer insbesondere, der Instruktionsrichter habe sich mit der Ankündigung, das Verfahren als gegenstandslos geworden abzuschreiben, bereits auch in der Hauptsache in eindeutiger Weise festgelegt und sei für seine Beschwerdegründe nicht mehr offen gewesen. Auf den ersten Blick erscheint es verständlich, dass die Bekanntgabe des Instruktionsrichters, das Verfahren möglichenfalls infolge Gegenstandslosigkeit abzuschreiben, beim Beschwerdeführer den Eindruck der Befangenheit erwecken mag. Doch der Beschwerdeführer verkennt dabei, dass ein Richter oder eine Richterin in bestimmten Verfahrenskonstellationen nicht umhin kommt, sich bereits in einem früheren Verfahrensstadium, im Rahmen prozessleitender Anordnungen, zu Fragestellungen zu äussern, die auch für den Endentscheid relevant sind. Dies trifft namentlich bei Zwischenentscheiden zu, mit denen im Hinblick auf eine mögliche Gegenstandslosigkeit des Verfahrens das rechtliche Gehör gewährt wird. Vielmehr liegt die gerichtliche Auseinandersetzung mit dem Fall geradezu im Interesse der Partei, ist es doch erforderlich, dass sie ihren Entscheid, die Beschwerde zurückzuziehen oder aufrechtzuerhalten, im Wissen um die ausschlaggebenden Gesichtspunkte treffen kann, welche das Gericht anlässlich einer ersten summarischen Prüfung des Falles bewogen haben, eine Abschreibung infolge Gegenstandslosigkeit ins Auge zu fassen (Urteil des Bundesgerichts U 391/04 vom 13. September 2005 E. 3.2.2 und 4.2, 8C_555/2007/8C_556/2007 vom 31. Juli 2008 E. 6.1.3, je mit weiteren Hinweisen). Mit Verfügung vom 11. August 2011 wurde dem Beschwerdeführer das rechtliche Gehör zu der sich abzeichnenden Gegen-standslosigkeit des Verfahrens gewährt. Der Instruktionsrichter hat die Stellungnahme des Beschwerdeführers eingeholt, um anschliessend eine abschliessende verfahrensrechtliche Beurteilung der Beschwerde vornehmen zu können. Seine diesbezüglichen Erwägungen gingen nicht über das prozessual Erforderliche hinaus. Dementsprechend ist auch eine daraus resultierende mögliche Befangenheit von Instruktionsrichter Beat Forster zu verneinen.</w:t>
      </w:r>
    </w:p>
    <w:p>
      <w:r>
        <w:rPr>
          <w:b/>
        </w:rPr>
        <w:t>E. 4.4</w:t>
      </w:r>
    </w:p>
    <w:p>
      <w:r>
        <w:t>Streitgegenstand in der nachträglichen Verwaltungsrechtspflege ist das Rechtsverhältnis, das Gegenstand der angefochtenen Verfügung bildet, soweit es im Streit liegt. Fragen, über welche die erstinstanzliche Behörde nicht entschieden hat, darf die zweite Instanz nicht beurteilen; sonst würde in die funktionelle Zuständigkeit der ersten Instanz eingegriffen (Moser/Beusch/Kneubühler, a.a.O., S. 25 f. Rz. 2.7 f.). Der Hinweis des Instruktionsrichters, die Beschwerdeanträge dürften nicht über den Gegenstand des Gesuches vom 17. Mai 2011 bzw. den Inhalt der beiden vorinstanzlichen Verfügungen vom 24. Mai und 8. August 2011 hinausgehen, ist demgemäss als allgemeiner Verweis auf die Rechtslage zu verstehen. Er enthält - entgegen der Auffassung des Beschwerdeführers - keine präjudizielle Aussage zur tatsächlichen Zulässigkeit der erhobenen Rügen.</w:t>
      </w:r>
    </w:p>
    <w:p>
      <w:r>
        <w:rPr>
          <w:b/>
        </w:rPr>
        <w:t>E. 4.5</w:t>
      </w:r>
    </w:p>
    <w:p>
      <w:r>
        <w:t>Mit Zwischenverfügung vom 4. August 2011 wurde der Beschwerdeführer aufgefordert, das Formular "Gesuch um unentgeltliche Rechtspflege" bis zum 17. August 2011 vollständig ausgefüllt zusammen mit den nötigen Beweismitteln einzureichen. Gemäss Art. 65 Abs. 1 VwVG kann die unentgeltliche Prozessführung grundsätzlich nur gewährt werden, wenn der Beschwerdeführer nachweist, dass er nicht über die nötigen finanziellen Mittel verfügt, den Prozess aus eigenen Mitteln zu bestreiten. Hierzu hat er seine finanzielle Situation offenzulegen und soweit als möglich zu belegen. (vgl. Martin Kayser, in: Auer/Müller/Schindler (Hrsg.), Kommentar zum Bundesgesetz über das Verwaltungsverfahren (VwVG), Zürich 2008, Rz. 12 zu Art. 65; Moser/Beusch/Kneubühler, a.a.O., S. 228 Rz. 4.109; Beschluss der Präsidentenkonferenz des Bundesverwaltungsgerichts vom 20. Februar 2007). Das vom Instruktionsrichter gewählte Vorgehen betreffend Gesuch um unentgeltliche Rechtspflege entspricht somit der gängigen Gerichtspraxis und es ist nicht ersichtlich, inwiefern aus dieser prozessleitenden Handlung ein Ausstandsgrund abzuleiten wäre. Auch der Einwand des Beschwerdeführers, er habe die Verfügung vom 4. August 2011 erst am 17. August 2011 zur Kenntnis nehmen können, erweist sich als nicht stichhaltig. Dem Beschwerdeführer wurde mit Verfügung vom 4. August 2011 eine gerichtsübliche Frist bis zum 17. August 2011 angesetzt, um den Nachweis der Bedürftigkeit zu erbringen. Aus den vorliegenden Akten geht hervor, dass jene Verfügung gleichentags versandt wurde. Der Beschwerdeführer befindet sich mit Einreichung der Beschwerde in einem Prozessrechtsverhältnis und ist daher grundsätzlich gehalten, für die rechtzeitige Empfangnahme seiner Post besorgt zu sein (Moser/Beusch/Kneubühler, a.a.O, S. 200 f. Rz. 4.29 f. mit weiteren Hinweisen). Ohnedies wurde die vom Beschwerdeführer beanstandete Frist im Rahmen der Zwischenverfügung vom 11. August 2011 nochmals von Amtes wegen bis zum 24. August 2011 erstreckt. Der Beschwerdeführer hätte daher genügend Zeit gehabt, seinen prozessualen Mitwirkungspflichten nachzukommen.</w:t>
      </w:r>
    </w:p>
    <w:p>
      <w:r>
        <w:rPr>
          <w:b/>
        </w:rPr>
        <w:t>E. 4.6</w:t>
      </w:r>
    </w:p>
    <w:p>
      <w:r>
        <w:t>Der Vorwurf der Begünstigung wird vom Beschwerdeführer nicht näher substantiiert. Nach Art. 305 des Schweizerischen Strafgesetzbuchs vom 21. Dezember 1937 (StGB, SR 311.0) ist wegen Begünstigung strafbar, wer jemandem der Strafverfolgung, dem Strafvollzug oder einem Massnahmenvollzug entzieht. Vorliegend bestehen indes keinerlei Anhaltspunkte für ein strafbares Handeln des Instruktionsrichters.</w:t>
      </w:r>
    </w:p>
    <w:p>
      <w:r>
        <w:rPr>
          <w:b/>
        </w:rPr>
        <w:t>E. 4.7</w:t>
      </w:r>
    </w:p>
    <w:p>
      <w:r>
        <w:t>Nur der Vollständigkeit halber ist festzuhalten, dass sich weder aus der Begründung des Ausstandsbegehrens des Beschwerdeführers noch aus der Stellungnahme des Richters konkrete Hinweise auf das Bestehen einer persönlichen Feindschaft zwischen den Genannten ergeben.</w:t>
      </w:r>
    </w:p>
    <w:p>
      <w:r>
        <w:rPr>
          <w:b/>
        </w:rPr>
        <w:t>E. 4.8</w:t>
      </w:r>
    </w:p>
    <w:p>
      <w:r>
        <w:t>Gestützt auf die vorstehenden Erwägungen bleibt zusammenfassend festzustellen, dass bei objektiver Betrachtung keine Umstände vorliegen, die den Anschein der Befangenheit und die Gefahr der Voreingenommenheit zu begründen vermögen. Das Ausstandsbegehren gegen Richter Beat Forster im Verfahren A-3762/2011 ist daher abzuweisen.</w:t>
      </w:r>
    </w:p>
    <w:p>
      <w:r>
        <w:rPr>
          <w:b/>
        </w:rPr>
        <w:t>E. 5.1</w:t>
      </w:r>
    </w:p>
    <w:p>
      <w:r>
        <w:t>Bezüglich der Verfahrenskosten regelt das VwVG in Art. 63 Abs. 1, dass die Kosten grundsätzlich der unterliegenden Partei aufzuerlegen sind, jedoch ausnahmsweise erlassen werden können. Ein Erlass ist namentlich aus Billigkeitsgründen möglich (vgl. Marcel Maillard, in: Bern­hard Waldmann/Philippe Weissenberger [Hrsg.], Praxiskommentar zum Bun­desgesetz über das Verwaltungsverfahren, Zürich/Basel/Genf 2009, Art. 63 Rz. 18 f.). Soweit dem Beschwerdeführer für sein Unterliegen Verfahrens­kosten aufzuerlegen wären, sind ihm diese in Anwendung der genannten Bestimmung (vgl. auch Art. 6 Bst. b des Reglements vom 21. Februar 2008 über die Kosten und Entschä­digungen vor dem Bundesverwaltungsgericht [VGKE, SR 173.320.2]) zu erlassen und auf die Gerichtskasse zu nehmen.</w:t>
      </w:r>
    </w:p>
    <w:p>
      <w:r>
        <w:rPr>
          <w:b/>
        </w:rPr>
        <w:t>E. 5.2</w:t>
      </w:r>
    </w:p>
    <w:p>
      <w:r>
        <w:t>Infolge Unterliegens steht dem Beschwerdeführer von vornherein keine Parteientschädigung zu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