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A-4643/2023 vom 23. Mai 2025</w:t>
      </w:r>
    </w:p>
    <w:p>
      <w:r>
        <w:t>Bundesverwaltungsgericht, 2025-05-23, FR</w:t>
      </w:r>
    </w:p>
    <w:p>
      <w:r>
        <w:rPr>
          <w:b/>
        </w:rPr>
        <w:t xml:space="preserve">Quelle: </w:t>
      </w:r>
      <w:r>
        <w:t>https://mcp.opencaselaw.ch/entscheid/bvger_A-4643_2023</w:t>
      </w:r>
    </w:p>
    <w:p>
      <w:r>
        <w:t>FR: TAF A-4643/2023 du 23 mai 2025</w:t>
      </w:r>
    </w:p>
    <w:p>
      <w:r>
        <w:t>IT: TAF A-4643/2023 del 23 maggio 2025</w:t>
      </w:r>
    </w:p>
    <w:p>
      <w:pPr>
        <w:pStyle w:val="Heading2"/>
      </w:pPr>
      <w:r>
        <w:t>Regeste</w:t>
      </w:r>
    </w:p>
    <w:p>
      <w:r>
        <w:t>Taxe sur la valeur ajoutée</w:t>
      </w:r>
    </w:p>
    <w:p>
      <w:pPr>
        <w:pStyle w:val="Heading2"/>
      </w:pPr>
      <w:r>
        <w:t>Erwägungen</w:t>
      </w:r>
    </w:p>
    <w:p>
      <w:r>
        <w:rPr>
          <w:b/>
        </w:rPr>
        <w:t>E. 7.1</w:t>
      </w:r>
    </w:p>
    <w:p>
      <w:r>
        <w:t>In casu, il convient de rappeler que les prestations qu'il s'agit de qualifier pour résoudre le présent litige sont celles que la recourante a acquises de la part des syndicats propriétaires d'étalons sur la base des contrats de « Nomination sale agreement » (cf. consid. 5.2.1 ci-avant). Dans un premier temps, et comme le soutient la recourante, il s'agit de voir s'il est possible de retenir la qualification de livraison en raison des opérations de monte qui sont organisées in fine dans l'hémisphère Sud par l'agent sur place de la recourante (soit le gestionnaire du haras H._______) et les opérations de représentation indirecte qui en résulteraient (cf. consid. 6.2 ci-avant). En effet, l'autorité inférieure et la recourante s'accordent à dire que l'opération de monte d'une jument est considérée comme une sorte de travail à façon sur la jument et par conséquent comme une livraison au sens de l'art. 3 let. d ch. 2 LTVA (voir la pratique de l'AFC rappelée sous consid. 4.3.6 ci-avant). La question qui se pose est donc celle de savoir si cette qualification de livraison peut « remonter » la chaîne des opérations jusqu'à la prestation acquise de la recourante de la part des syndicats de propriétaires d'étalons en raison du rapport de représentation indirecte qui aurait pris place entre la recourante et le gestionnaire du haras (H._______) organisateur des opérations de monte des juments. Toutefois, pour que ce raisonnement puisse être suivi, encore faudrait-il qu'il y ait une réelle identité entre les diverses opérations considérées en l'espèce. Or, il n'en est rien comme cela ressort des explications ci-après. L'agent ou gestionnaire de haras, H._______, ne se trouve pas dans un rapport de représentation indirecte s'agissant de la prestation finale d'ensemble qui est fournie aux propriétaires de juments et que les parties qualifient ici d'opération de monte. En effet, d'une part, la recourante et H._______ sont liées par un « Sales agency agreement » (cf. consid. 5.2.2, ci-avant) qui mandate H._______, respectivement sa succursale I._______, pour faire la commercialisation des droits de saillie concernant l'étalon et lui garantit à cet effet qu'elle (la succursale) sera la propriétaire économique et effective des droits de saillie sur l'étalon avant le début de la période de reproduction et qu'elle aura le droit de vendre et transférer ces droits à des tiers. De l'autre côté, pour concrétiser les opérations de monte, H._______, doit être en mesure non seulement de détenir les droits de saillie sur l'étalon, mais également d'organiser la venue de l'étalon dans le haras et d'assurer le gîte et la préparation de la jument ainsi que le travail de l'étalonnier pour que les opérations de monte puissent aboutir au résultat voulu par le propriétaire de la jument, à savoir la fécondation de celle-ci. Cette prestation globale fait l'objet des contrats de « Agistment and Stallion Agreements » (cf. consid. 5.2.3 ci-avant). Il résulte ainsi clairement que les deux opérations, à savoir d'une part la prestation conclue entre la recourante et H._______ et d'autre part la prestation convenue entre cette dernière et les propriétaires de juments, ne sont pas identiques. En effet, la recourante se contente de transférer les droits de saillie sur l'étalon, tandis que H._______ doit non seulement être en mesure de transférer à son tour les droits de saillie sur l'étalon, mais encore d'organiser toutes les prestations nécessaires pour permettre l'opération de monte des juments, qui est la prestation attendue par les propriétaires des juments. Il n'y a donc pas de rapport de représentation indirecte au sens où l'entend la recourante. Tout au plus, et pour autant que la prestation fournie par H._______ ne soit plus vue comme une prestation d'ensemble mais comme deux prestations indépendantes en raison notamment de la facturation séparée mise en place (transfert des droits de saillie « Stallion Service fees » et services à la jument « Agistment fees »), on pourrait alors considérer qu'il y a représentation indirecte de la part de H._______ sur la partie « revente des droits de saillie ». Toutefois, dans ce cas, cela signifierait qu'on ne pourrait plus retenir en aval une prestation globale de monte de juments, assimilée à livraison, et que la prestation objet de la représentation indirecte, la partie « Stallion Service fees » devrait être analysée pour elle-même, sans les services supplémentaires fournis par H._______ facturés dans les « Agistment Fees ». Or, ce sont ces deux éléments combinés qui permettent concrètement à l'opération de monte de se réaliser. Par conséquent, l'analyse trop globale de la recourante, qui consiste à ignorer les services supplémentaires qui doivent être organisés par H._______ pour être en mesure d'effectuer in fine les opérations de monte, dans l'optique de conclure à une identité des prestations dans le cadre d'une représentation indirecte ne peut être suivie par le Tribunal. Dans ces conditions, il n'est plus nécessaire d'examiner s'il y aurait aussi identité entre les prestations fournies par la recourante à H._______ et celles acquises de la recourante auprès des syndicats de propriétaires, objet du présent litige.</w:t>
      </w:r>
    </w:p>
    <w:p>
      <w:r>
        <w:rPr>
          <w:b/>
        </w:rPr>
        <w:t>E. 7.2</w:t>
      </w:r>
    </w:p>
    <w:p>
      <w:r>
        <w:t>Cette première argumentation ayant été écartée, il s'agit d'analyser pour elle-même la prestation acquise par la recourante, afin d'en déterminer la réelle nature du point de vue de la TVA.</w:t>
      </w:r>
    </w:p>
    <w:p>
      <w:r>
        <w:rPr>
          <w:b/>
        </w:rPr>
        <w:t>E. 7.2.1</w:t>
      </w:r>
    </w:p>
    <w:p>
      <w:r>
        <w:t>Il ressort du dossier de la cause que la recourante est active dans l'achat et la revente de droits de saillie portant sur des étalons pur-sang en (... [pays B]) et destinés à la reproduction par monte naturelle dans l'hémisphère Sud.</w:t>
      </w:r>
    </w:p>
    <w:p>
      <w:r>
        <w:rPr>
          <w:b/>
        </w:rPr>
        <w:t>E. 7.2.2</w:t>
      </w:r>
    </w:p>
    <w:p>
      <w:r>
        <w:t>La Cour de céans retient qu'une saillie consiste dans l'acte d'accouplement réalisé par un mâle sur une femelle. On parle également de « monte ».</w:t>
      </w:r>
    </w:p>
    <w:p>
      <w:r>
        <w:rPr>
          <w:b/>
        </w:rPr>
        <w:t>E. 7.2.3</w:t>
      </w:r>
    </w:p>
    <w:p>
      <w:r>
        <w:t>Il est admis que la recourante ne détient pas de chevaux, ni en tant que propriétaire ni en tant que possesseur.</w:t>
      </w:r>
    </w:p>
    <w:p>
      <w:r>
        <w:rPr>
          <w:b/>
        </w:rPr>
        <w:t>E. 7.2.4</w:t>
      </w:r>
    </w:p>
    <w:p>
      <w:r>
        <w:t>Il est également admis que la recourante ne souhaite utiliser ni n'utilise elle-même les étalons pour qu'ils s'accouplent avec des juments. Il est, par ailleurs, établi que son activité consiste exclusivement dans l'acquisition de droits de saillie et la revente de ceux-ci. En effet, une fois les droits de saillie achetés auprès de syndicats de propriétaires de parts d'étalons pur-sang, la recourante en assure la commercialisation par le biais d'un agent commercial, également gestionnaire d'un haras, qui les revend à des propriétaires de juments en organisant également l'opération de la monte des juments. Selon le rapport de l'inspecteur (module 11, sous le titre « Ventes »), il semblerait que, dans certains cas, la recourante revendrait les droits de saillie directement à des fermiers indépendants, lesquels refactureraient ensuite en leur propre nom les saillies aux éleveurs de jument. Que ce soit dans ses écritures, ou dans les exemples de documents remis, la recourante n'évoque guère cette autre manière de revendre les droits de saillie, si bien qu'il convient d'en conclure que les caractéristiques de cet autre circuit de revente ne doivent pas différer fondamentalement de l'activité déployée avec son agent commercial H._______ et qui sert à la présente analyse.</w:t>
      </w:r>
    </w:p>
    <w:p>
      <w:r>
        <w:rPr>
          <w:b/>
        </w:rPr>
        <w:t>E. 7.2.5</w:t>
      </w:r>
    </w:p>
    <w:p>
      <w:r>
        <w:t>Il ressort du dossier de la cause que la prestation litigieuse fait l'objet d'un contrat de vente et d'achat de droits de saillie conclu entre le syndicat et la recourante (« Nomination Sales Agreement », cf. consid. 5.2.1 ci-avant). On retient que ce contrat porte sur les droits de saillie, et non sur l'étalon (cf. son titre, ses clauses A, C, 3, 4, 5, et 8 2ephr.). En effet, malgré les quelques occurrences évoquant l'étalon G._______, le contrat mentionne cependant toujours l'équidé en lien avec les parties au contrat ou les droits de saillie respectivement les conditions nécessaires à leur exercice (cf. p. 1 du contrat, clauses n°1b et 9 ainsi que l'annexe au contrat, clause A et clause n° 7). On observe également que dit contrat ne mentionne pas de droit d'usage, de jouissance et/ou de disposition sur l'équidé en faveur de la recourante. Ainsi, d'après cette convention, la prestation - litigieuse - acquise par la recourante ne tombe sous le coup d'aucun des trois cas de figure énumérés à l'art. 3 let. d LTVA - permettant de retenir une livraison de biens. Ce contrat ne comprend en effet aucune clause accordant à la recourante le pouvoir de disposer économiquement de l'étalon en son propre nom. Il ne ressort pas non plus de cet accord que le syndicat remettrait à la recourante un étalon sur lequel un travail aurait été réalisé. Enfin, aucune clause de ce contrat n'énonce que le syndicat mettrait l'étalon à la disposition de la recourante à des fins d'usage ou de jouissance.</w:t>
      </w:r>
    </w:p>
    <w:p>
      <w:r>
        <w:rPr>
          <w:b/>
        </w:rPr>
        <w:t>E. 7.2.6</w:t>
      </w:r>
    </w:p>
    <w:p>
      <w:r>
        <w:t>Le Tribunal de céans relève encore que le droit de saillie porte, certes, sur un cheval, à savoir un animal, qui du point de vue de la TVA est considéré comme un bien mobilier (cf. consid. 4.3.2 ci-avant). Il ressort toutefois du dossier que le droit de saillie ne renferme aucun droit d'usage ni de jouissance ni de disposition sur l'étalon en faveur de la recourante. Ainsi, il est retenu que le syndicat ne met pas l'étalon à disposition de la recourante. Il vend uniquement un ou plusieurs droits de faire saillir un étalon pur-sang déterminé. Ce n'est pas l'objet - le cheval - qui est au centre du contrat, mais ses capacités de reproduction. La Cour de céans retient donc que le droit de saille a, en l'espèce, une existence propre, indépendante du cheval, dans la mesure où celui-là est acheté par la recourante pour être revendu par celle-ci, sans intention de l'utiliser et sans même en avoir la possibilité dès lors qu'elle ne détient pas de jument.</w:t>
      </w:r>
    </w:p>
    <w:p>
      <w:r>
        <w:rPr>
          <w:b/>
        </w:rPr>
        <w:t>E. 7.2.7</w:t>
      </w:r>
    </w:p>
    <w:p>
      <w:r>
        <w:t>A partir du moment où la prestation à analyser n'entre dans aucun des trois cas de figure prévus pour une livraison au sens de l'art. 3 let. d LTVA, il en résulte que la prestation acquise par la recourante ne peut être qu'une prestation de services, puisque selon le système prévu par le législateur toute opération qui ne peut être qualifiée de livraison reçoit alors la qualité de prestation de services, pour autant que la condition de l'existence d'un échange de prestations soit remplie, ce qui n'est pas contesté en l'espèce, puisque la recourante verse bien une contre-prestation pour acquérir les droits de saillie visés. Le fait que, comme la recourante le souligne elle-même, ces droits de saillie puissent être revendus à plusieurs reprises avant que l'opération de monte soit organisée démontre que cette prestation a été décorrélée du bien qui en est à la source, à savoir le cheval. Certes, à un moment, l'exercice de ce droit nécessitera l'intervention de l'étalon, mais à ce moment le cheval ne sera que l'outil qui permettra de valoriser les droits acquis (cf. consid. 4.3.2 ci-avant). Dans toute la chaîne d'achat et de revente des droits, les différents acquéreurs pourront soit revendre les droits à un tiers, soit utiliser les droits acquis pour concrétiser une opération de monte d'une jument, soit agir en remboursement si l'étalon ne peut être mis à disposition au moment voulu. Cela confirme la séparation intervenue entre le transfert des droits de saillies et le cheval lui-même. L'objet du contrat de saillie n'est pas l'étalon lui-même, mais sa faculté de reproducteur. Telles que les prestations ont été convenues, il y a eu séparation entre le droit de saillie, l'étalon lui-même et les opérations de monte. Au vu de ce qui précède, le Tribunal de céans retient que le droit de saillie est un droit immatériel. La prestation litigieuse ne tombant sous le coup d'aucun des trois cas de figure énoncé à l'art. 3 let. d LTVA, il ne s'agit ainsi pas d'une livraison de biens mais d'une prestation de services au sens de l'art. 3 let. e ch. 1 LTVA, en ce sens que l'acquisition des droits de saillie par la recourante doit être considérée comme une cession de droits incorporels, respectivement immatériels, à destination de la recourante.</w:t>
      </w:r>
    </w:p>
    <w:p>
      <w:r>
        <w:rPr>
          <w:b/>
        </w:rPr>
        <w:t>E. 7.2.8.1</w:t>
      </w:r>
    </w:p>
    <w:p>
      <w:r>
        <w:t>S'agissant de l'argumentation subsidiaire de la recourante consistant à soutenir que le raisonnement de l'AFC reviendrait à considérer que le droit de saillie constitue un produit dérivé sur l'étalon (en tant qu'actif sous-jacent), à savoir un instrument financier utilisé uniquement à des fins spéculatives si bien qu'il conviendrait de requalifier les opérations en cause de prestations de services dans le secteur financier exclues du champ de l'impôt conformément à l'art. 21 al. 2 ch. 19 LTVA (cf. consid. 6.2 ci-avant), il convient de répondre comme suit.</w:t>
      </w:r>
    </w:p>
    <w:p>
      <w:r>
        <w:rPr>
          <w:b/>
        </w:rPr>
        <w:t>E. 7.2.8.2</w:t>
      </w:r>
    </w:p>
    <w:p>
      <w:r>
        <w:t>L'art. 21 al. 2 ch. 19 let. e LTVA exclut du champ de l'impôt les opérations (au comptant et à terme), y compris la négociation, portant sur les papiers-valeurs, sur les droits-valeurs et les dérivés ainsi que sur des parts de sociétés et d'autres associations. Les opérations exclues du champ de l'impôt ou exonérées de la TVA ne sont pas soumises à l'impôt sur les acquisitions (cf. consid. 4.2.2 ci-avant). L'application de l'art. 21 al. 2 ch. 19 LTVA ne se limite pas aux établissements bancaires au sens de l'art. 1 de la loi fédérale du 8 novembre 1934 sur les banques et les caisses d'épargne (LB, RS 952.0) ou aux établissements financiers listés à l'art. 2 de la loi fédérale du 15 juin 2018 sur les établissements financiers (LEFin, RS 954.1). C'est la nature de la prestation qui compte et non pas la qualité du fournisseur de la prestation (Roland Reding, MWST Kommentar 2025, art. 21 n° 212). Il faut cependant que le chiffre d'affaires concerné présente des caractéristiques du droit des marchés financiers (arrêt du TF 2C_660/2020 du 8 novembre 2021 consid. 5.1 et 5.4).</w:t>
      </w:r>
    </w:p>
    <w:p>
      <w:r>
        <w:rPr>
          <w:b/>
        </w:rPr>
        <w:t>E. 7.2.8.3</w:t>
      </w:r>
    </w:p>
    <w:p>
      <w:r>
        <w:t>En l'occurrence, l'achat et la revente de droits de saillie ne présente clairement pas les caractéristiques d'un instrument financier (voir par exemple les définitions figurant à l'art. 3 de la loi fédérale du 15 juin 2018 sur les services financiers [LSFin, RS 950.1]). L'opération n'est pas structurée comme un produit financier et il n'existe pas de marché financier ouvert à ses transactions. Ce sont de pures opérations d'achat et de revente de droits avec la présence d'intermédiaires, à l'exemple de la recourante, qui profite manifestement de son expérience dans le monde équin pour acquérir des droits de saillie auprès de propriétaires d'étalons - qui ne doivent ainsi plus s'occuper de trouver des propriétaires de juments intéressés à des accouplements - et procéder ensuite à leur commercialisation grâce à son agent mandaté dans l'hémisphère Sud. La recourante ne peut pas non plus être suivie lorsqu'elle affirme que l'AFC n'indiquerait pas en quoi consisterait l'avantage économique conféré par un droit immatériel dans le présent contexte. En l'occurrence, l'avantage économique acquis par la recourante correspond à la faculté d'obliger le syndicat des propriétaires de l'étalon à faire le nécessaire pour que le cheval soit en mesure de s'accoupler avec une jument lorsque l'opération de monte doit intervenir. Si cela ne devait pas être le cas, la recourante a d'ailleurs droit au remboursement de la totalité ou d'une partie du montant payé au syndicat des propriétaires (cf. consid. 5.2.1 ci-avant). Les prestations d'acquisition et de revente des droits de saillie constituent des prestations imposables et la qualification d'opération financière exclue ne peut donc être retenue.</w:t>
      </w:r>
    </w:p>
    <w:p>
      <w:r>
        <w:rPr>
          <w:b/>
        </w:rPr>
        <w:t>E. 7.2.9</w:t>
      </w:r>
    </w:p>
    <w:p>
      <w:r>
        <w:t>Il découle de ce qui précède que les prestations litigieuses en cause sont des prestations de services imposables dont le lieu d'imposition se trouve en Suisse, à savoir au siège de la recourante - destinataire de ces prestations -, conformément à l'art. 8 al. 1 LTVA. Dans la mesure où les syndicats de propriétaires d'étalons - fournisseurs des prestations de services - ont leur siège à l'étranger, précisément en (... [pays B._______]), et ne sont pas inscrits au registre des assujettis à la TVA suisse, la Cour de céans retient que les prestations litigieuses sont soumises à l'impôt sur les acquisitions, en vertu de l'art. 45 al. 1 let. a LTVA. Pour le reste, la recourante ne remet pas en question le calcul de la créance fiscale effectué par l'AFC ni le principe de la perception d'un intérêt moratoire et le Tribunal ne voit pas non plus de motif pour s'écarter de la notification d'estimation établie par l'autorité inférieure.</w:t>
      </w:r>
    </w:p>
    <w:p>
      <w:r>
        <w:rPr>
          <w:b/>
        </w:rPr>
        <w:t>E. 7.3</w:t>
      </w:r>
    </w:p>
    <w:p>
      <w:r>
        <w:t>Par conséquent, le recours doit être rejeté dans son ensemble et la décision litigieuse doit être confirmée.</w:t>
      </w:r>
    </w:p>
    <w:p>
      <w:r>
        <w:rPr>
          <w:b/>
        </w:rPr>
        <w:t>E. 8</w:t>
      </w:r>
    </w:p>
    <w:p>
      <w:r>
        <w:t>Les frais de procédure sont arrêtés à 28'000 francs et sont mis à la charge de la recourante, laquelle succombe, en application de l'art. 63 al. 1 PA et des art. 1 ss du règlement du 21 février 2008 concernant les frais, dépens et indemnités fixés par le Tribunal administratif fédéral (FITAF, RS 173.320.2). Les frais de procédure sont prélevés sur l'avance de frais déjà versée par la recourante à hauteur du même montant. Aucune indemnité de dépens n'est allouée à la recourante (art. 64 al. 1 PA a contrario et art. 7 al. 1 FITAF a contrario) et à l'autorité inférieure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