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A-4632/2019 vom 14. Oktober 2019</w:t>
      </w:r>
    </w:p>
    <w:p>
      <w:r>
        <w:t>Bundesverwaltungsgericht, 2019-10-14, DE</w:t>
      </w:r>
    </w:p>
    <w:p>
      <w:r>
        <w:rPr>
          <w:b/>
        </w:rPr>
        <w:t xml:space="preserve">Quelle: </w:t>
      </w:r>
      <w:r>
        <w:t>https://mcp.opencaselaw.ch/entscheid/bvger_A-4632_2019</w:t>
      </w:r>
    </w:p>
    <w:p>
      <w:r>
        <w:t>FR: TAF A-4632/2019 du 14 octobre 2019</w:t>
      </w:r>
    </w:p>
    <w:p>
      <w:r>
        <w:t>IT: TAF A-4632/2019 del 14 ottobre 2019</w:t>
      </w:r>
    </w:p>
    <w:p>
      <w:pPr>
        <w:pStyle w:val="Heading2"/>
      </w:pPr>
      <w:r>
        <w:t>Regeste</w:t>
      </w:r>
    </w:p>
    <w:p>
      <w:r>
        <w:t>Zölle</w:t>
      </w:r>
    </w:p>
    <w:p>
      <w:pPr>
        <w:pStyle w:val="Heading2"/>
      </w:pPr>
      <w:r>
        <w:t>Erwägungen</w:t>
      </w:r>
    </w:p>
    <w:p>
      <w:r>
        <w:rPr>
          <w:b/>
        </w:rPr>
        <w:t>E. 1.1</w:t>
      </w:r>
    </w:p>
    <w:p>
      <w:r>
        <w:t>Gemäss Art. 61 Abs. 1 des Bundesgesetzes vom 20. Dezember 1968 über das Verwaltungsverfahren (VwVG, SR 172.021) entscheidet das Bundesverwaltungsgericht in der Sache oder weist diese ausnahmsweise mit verbindlichen Weisungen an die jeweilige Vorinstanz zurück. Letzteres ist namentlich dann angezeigt, wenn eine aufwendigere Beweiserhebung nachgeholt werden muss, sind doch (im Vergleich zum Bundesverwaltungsgericht) die Vorinstanzen mit den tatsächlichen Verhältnissen besser vertraut und aufgrund ihrer funktionellen und instrumentellen Ausstattung in der Regel eher in der Lage, die erforderlichen Abklärungen durchzuführen und mit den Parteien in direkten Kontakt zu treten (Urteile des BVGer A-4268/2018 vom 31. Januar 2019 E. 2, A-7273/2015 vom 3. Dezember 2015 E. 5; André Moser/Michael Beusch/Lorenz Kneubühler, Prozessieren vor dem Bundesverwaltungsgericht, 2. Aufl. 2013, Rz. 3.194).</w:t>
      </w:r>
    </w:p>
    <w:p>
      <w:r>
        <w:rPr>
          <w:b/>
        </w:rPr>
        <w:t>E. 1.2</w:t>
      </w:r>
    </w:p>
    <w:p>
      <w:r>
        <w:t>Daher kann es sich unter Umständen rechtfertigen, eine vom Bundesgericht ans Bundesverwaltungsgericht zurückgewiesene Sache weiter an die Vorinstanz zurückzuweisen («renvoi sur renvoi»; Urteil des BVGer A-7273/2015 vom 3. Dezember 2015 E. 4 m.Hw.).</w:t>
      </w:r>
    </w:p>
    <w:p>
      <w:r>
        <w:rPr>
          <w:b/>
        </w:rPr>
        <w:t>E. 2.1</w:t>
      </w:r>
    </w:p>
    <w:p>
      <w:r>
        <w:t>Im vorliegenden Fall hat das Bundesgericht erwogen, dass das Bundesverwaltungsgericht nach Art. 12 VwVG gehalten sei, sämtliche rechtserheblichen Tatsachen abzuklären, wobei es insbesondere verpflichtet sei, die rechtserheblichen Tatsachenbehauptungen der Beschwerdeführenden zu würdigen und angebotene Beweismittel abzunehmen, wenn sie zur Abklärung des Sachverhalts tauglich erscheinen. Verschiedene von den Beschwerdeführenden anerbotene Beweise seien nicht abgenommen worden, obwohl sich diese als rechtserheblich erweisen könnten. Insoweit sei das Verfahren nicht spruchreif. Gleiches gelte für die Würdigung von Beweisen, die für unerheblich befunden worden seien, womit die Untersuchungspflicht verletzt worden sei.</w:t>
      </w:r>
    </w:p>
    <w:p>
      <w:r>
        <w:rPr>
          <w:b/>
        </w:rPr>
        <w:t>E. 2.2</w:t>
      </w:r>
    </w:p>
    <w:p>
      <w:r>
        <w:t>Soweit das Bundesgericht eine ungenügende Erhebung bzw. Abnahme und Würdigung von Beweisen durch das Bundesverwaltungsgericht rügt, lässt sich derselbe Vorwurf gegenüber der Vorinstanz erheben. Das Bundesverwaltungsgericht hat im Lichte des höchstrichterlichen Urteils zu Unrecht die Beweiserhebung und -würdigung durch die Vorinstanz geschützt. Folglich hat sich die Vorinstanz mit den noch zu erhebenden und einigen bereits in den Akten liegenden Beweismitteln genauso wenig auseinandergesetzt wie das Bundesverwaltungsgericht. Damit hat die Vorinstanz den Sachverhalt - wie auch das Bundesverwaltungsgericht - nicht richtig festgestellt, weshalb schon der Beschwerdeentscheid der Vorinstanz am gleichen Mangel leidet wie das Urteil des Bundesverwaltungsgerichts.</w:t>
      </w:r>
    </w:p>
    <w:p>
      <w:r>
        <w:rPr>
          <w:b/>
        </w:rPr>
        <w:t>E. 2.3</w:t>
      </w:r>
    </w:p>
    <w:p>
      <w:r>
        <w:t>Bei der Vorinstanz handelt es sich zudem um eine Behörde mit ausgewiesenen Fachkenntnissen, namentlich im hier einschlägigen Bereich der grenzüberschreitenden Bewegung von Waren bzw. Tieren und den entsprechenden Zollformalitäten und -verfahren etc. (s. E. 2.4). Das Bundesverwaltungsgericht ist hingegen für die Überprüfung von Entscheiden der Vorinstanz zuständig (Art. 31 und 33 Bst. d VGG i.V.m. Art. 5 VwVG). Insgesamt erweist es sich vorliegend als sinnvoll, dass die Vorinstanz die vom Bundesgericht auferlegten Beweismassnahmen durchführt und die Beweise entsprechend würdigt, bevor sich allenfalls das Bundesverwaltungsgericht wiederum mit der Sache befasst. Zudem würde eine vorgängige Beweiserhebung und Beurteilung der Sache durch das Bundesverwaltungsgericht insbesondere in Bezug auf die noch gar nicht erhobenen Beweise den Rechtsweg verkürzen. Durch eine Rückweisung bleibt hingegen der doppelte Instanzenzug erhalten. Somit ist die Sache an die Vorinstanz zurückzuweisen, damit diese in Beachtung der bundesgerichtlichen Erwägungen und Weisungen neu über die Sache entscheidet (vgl. Urteil des BGer 2C_688/2012 vom 23. Juli 2012; Urteile des BVGer A-4268/2018 vom 31. Januar 2019 E. 2, A-4304/2017 vom 22. August 2017, A-7273/2015 vom 3. Dezember 2015 E. 5); entsprechend auch über die Frage, ob sie ihre Restforderung überhaupt aufrechterhalten will.</w:t>
      </w:r>
    </w:p>
    <w:p>
      <w:r>
        <w:rPr>
          <w:b/>
        </w:rPr>
        <w:t>E. 2.4</w:t>
      </w:r>
    </w:p>
    <w:p>
      <w:r>
        <w:t>Gemäss bundesgerichtlichen Erwägungen erweise sich in Bezug auf die Pferde «C._______» und «D._______» als rechtserhebliche Tatsache, ob im Moment der Zollanmeldung (zum Verfahren der vorübergehenden Verwendung) tatsächlich vorgesehen gewesen sei, die beiden Pferde am Reitturnier [...] am [...] 2013 einzusetzen (E. 3.6 des bundesgerichtlichen Urteils). Sei dies der Fall gewesen, dieser deklarierte Verwendungszweck nach der Einfuhr aber durch einen anderen, für das Verfahren der vorübergehenden Verwendung geeigneten Verwendungszweck abgelöst worden, hätte es - wenn auch die übrigen Voraussetzungen des Verfahrens der vorübergehenden Verwendung für die genannten Pferde erfüllt gewesen wären - an einer Widerhandlung im Sinne von Art. 12 des Bundesgesetzes vom 22. März 1974 über das Verwaltungsstrafrecht (VStrR, 313.0) gefehlt (E. 3.7 des bundesgerichtlichen Urteils). Diesbezüglich sind die von den Beschwerdeführenden anerbotenen Beweise abzunehmen und allfällige weitere Beweismassnahmen zu treffen. In Bezug auf das Pferd «E._______» habe die OZD im Unterschied zum Bundesverwaltungsgericht den Verwendungszweck nicht in Zweifel gezogen, zumal sie diesen Umstand für irrelevant gehalten habe (E. 4.2 des bundesgerichtlichen Urteils). Trotz fehlendem Carnet ATA hätten verschiedene Beweismittel und Indizien für den Verwendungszweck vorgelegen. So wäre es allenfalls möglich gewesen, die Aussage des Beschwerdeführers 1, dass er normalerweise «Reitturnier» als Verwendungszweck angebe, anhand der zahlreichen anderen Einfuhren mit Carnet ATA zu überprüfen, was dann ein starkes Indiz dafür gewesen wäre, dass dies auch auf dem verschollenen Carnet ATA der Fall gewesen sei (E. 4.2.1 des bundesgerichtlichen Urteils). Gemäss Bundesgericht könne der angegebene Verwendungszweck für den Ausgang des Verfahrens entscheidend sein und es dürften weitere Abklärungen dazu angezeigt sein (E. 4.2.3 des bundesgerichtlichen Urteils). Auch diesbezüglich ist der Sachverhalt abzuklären.</w:t>
      </w:r>
    </w:p>
    <w:p>
      <w:r>
        <w:rPr>
          <w:b/>
        </w:rPr>
        <w:t>E. 2.5</w:t>
      </w:r>
    </w:p>
    <w:p>
      <w:r>
        <w:t>Demnach sind die Beschwerden vom 5. Dezember 2016 insofern gutzuheissen, als die Sache hinsichtlich der Einfuhr der Pferde «C._______», «D._______» und «E._______» im Sinne der Erwägungen zu weiteren Beweiserhebungen und neuem Entscheid - entsprechend auch über die Frage, ob sie ihre Restforderung überhaupt aufrechterhalten will - an die Vorinstanz zurückzuweisen ist. Hinsichtlich der Einfuhr der Pferde «F._______» und «G._______» hat das Bundesgericht die Beschwerden bereits abgewiesen.</w:t>
      </w:r>
    </w:p>
    <w:p>
      <w:r>
        <w:rPr>
          <w:b/>
        </w:rPr>
        <w:t>E. 3.1</w:t>
      </w:r>
    </w:p>
    <w:p>
      <w:r>
        <w:t>Die Verfahrenskosten sind in der Regel von der unterliegenden Partei zu tragen. Unterliegt diese nur teilweise, so werden sie ermässigt (Art. 63 Abs. 1 VwVG). In der Verwaltungsrechtspflege des Bundes gilt die Rückweisung der Sache an die Vorinstanz zu weiteren Abklärungen und neuem Entscheid mit noch offenem Ausgang praxisgemäss als Obsiegen der beschwerdeführenden Partei (vgl. BGE 137 V 210 E. 7.1; Urteil des BVGer A-2646/2018 vom 30. September 2019 E. 8.1). Die Sache wird in Bezug auf die Pferde «C._______», «D._______» und «E._______» an die Vorinstanz zurückgewiesen, nicht hingegen in Bezug auf die Pferde «F._______» und «G._______». Die Beschwerdeführenden unterliegen somit zu 2/5, weshalb ihnen die Verfahrenskosten von insgesamt Fr. 4'000.-- zu 2/5, also in Höhe von Fr. 1'600.-- aufzuerlegen sind. Die beiden, in den Beschwerdeverfahren A-7503/2016 und A-7513/2016 einbezahlten Kostenvorschüsse von je Fr. 2'000.-- werden je im Umfang von Fr. 800.-- zur Bezahlung der (reduzierten) Verfahrenskosten verwendet. Die Restbeträge in Höhe von je Fr. 1'200.-- sind den Beschwerdeführenden nach Eintritt der Rechtskraft des vorliegenden Urteils zurückzuerstatten. Der Vorinstanz sind keine Verfahrenskosten aufzuerlegen (Art. 63 Abs. 2 VwVG). Über die Kosten des vorinstanzlichen Beschwerdeverfahrens wird die OZD in ihrem neuen Entscheid neu zu befinden haben.</w:t>
      </w:r>
    </w:p>
    <w:p>
      <w:r>
        <w:rPr>
          <w:b/>
        </w:rPr>
        <w:t>E. 3.2</w:t>
      </w:r>
    </w:p>
    <w:p>
      <w:r>
        <w:t>Die rechtsvertretenen Beschwerdeführenden haben dem Verfahrensausgang entsprechend Anspruch auf eine reduzierte Parteientschädigung (vgl. Art. 64 Abs. 1 VwVG i.V.m. Art. 7 des Reglements vom 21. Februar 2008 über die Kosten und Entschädigungen vor dem Bundesverwaltungsgericht [VGKE, SR 173.320.2]). Vorliegend ist diese praxisgemäss auf Fr. 3'600.-- festzusetzen. Der Vorinstanz steht gemäss Art. 7 Abs. 3 VGKE keine Parteientschädigung zu. Über die Parteienschädigungen im vorinstanzlichen Beschwerdeverfahren wird die OZD in ihrem neuen Entscheid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