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A-4614/2014 vom 27. Januar 2015</w:t>
      </w:r>
    </w:p>
    <w:p>
      <w:r>
        <w:t>Bundesverwaltungsgericht, 2015-01-27, DE</w:t>
      </w:r>
    </w:p>
    <w:p>
      <w:r>
        <w:rPr>
          <w:b/>
        </w:rPr>
        <w:t xml:space="preserve">Quelle: </w:t>
      </w:r>
      <w:r>
        <w:t>https://mcp.opencaselaw.ch/entscheid/bvger_A-4614_2014</w:t>
      </w:r>
    </w:p>
    <w:p>
      <w:r>
        <w:t>FR: TAF A-4614/2014 du 27 janvier 2015</w:t>
      </w:r>
    </w:p>
    <w:p>
      <w:r>
        <w:t>IT: TAF A-4614/2014 del 27 gennaio 2015</w:t>
      </w:r>
    </w:p>
    <w:p>
      <w:pPr>
        <w:pStyle w:val="Heading2"/>
      </w:pPr>
      <w:r>
        <w:t>Regeste</w:t>
      </w:r>
    </w:p>
    <w:p>
      <w:r>
        <w:t>Mehrwertsteuer</w:t>
      </w:r>
    </w:p>
    <w:p>
      <w:pPr>
        <w:pStyle w:val="Heading2"/>
      </w:pPr>
      <w:r>
        <w:t>Erwägungen</w:t>
      </w:r>
    </w:p>
    <w:p>
      <w:r>
        <w:rPr>
          <w:b/>
        </w:rPr>
        <w:t>E. 1</w:t>
      </w:r>
    </w:p>
    <w:p>
      <w:r>
        <w:t>1.1 Angefochten ist ein "Einspracheentscheid" der ESTV und damit eine Verfügung nach Art. 5 VwVG. Das Bundesverwaltungsgericht ist die zuständige Beschwerdeinstanz (Art. 31, Art. 32 e contrario und Art. 33 Bst. d VGG; vgl. zur funktionalen Zuständigkeit des Bundesverwaltungsgerichts zur Behandlung von Beschwerden gegen "Einspracheentscheide" der ESTV, die im Zuge von "Einsprachen" gegen Einschätzungsmitteilungen ergangen sind: Urteile des Bundesverwaltungsgerichts A-6437/2012 vom 6. November 2013 E. 1.2.2 f. sowie [erstmals] A-707/2013 vom 25. Juli 2013 insb. E. 1.2.3 und 4.2 f.; dieses bestätigt durch BGE 140 II 202). Das Verfahren richtet sich nach dem VwVG, soweit das VGG nichts anderes bestimmt (Art. 37 VGG). Im Übrigen ist die Beschwerdeführerin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1.2</w:t>
      </w:r>
    </w:p>
    <w:p>
      <w:r>
        <w:t>Der zu beurteilende Sachverhalt hat sich im Jahr 2010 ereignet und damit nach dem Inkrafttreten des MWSTG (SR 641.20) am 1. Januar 2010, womit dieses vorliegend zur Anwendung kommt. 1.31.3.1 Die Entscheidfindung (Rechtsanwendung) setzt voraus, dass die Sachlage korrekt und vollständig ermittelt wurde. Das Verwaltungsverfahren und die Verwaltungsrechtspflege werden deshalb vom sog. Untersuchungsgrundsatz beherrscht (Art. 12 VwVG). Danach muss die entscheidende Behörde den Sachverhalt von sich aus abklären. Sie muss die für das Verfahren notwendigen Sachverhaltsunterlagen beschaffen und die rechtlich relevanten Umstände abklären sowie darüber ordnungsgemäss Beweis führen (vgl. zum Ganzen etwa: Patrick L. Krauskopf/Katrin Emmenegger, in: Bernhard Waldmann/Philippe Weissenberger [Hrsg.], Praxiskommentar zum Bundesgesetz über das Verwaltungsverfahren, Zürich/Basel/Genf 2009, N 15 ff. zu Art. 12 VwVG). Der Untersuchungsgrundsatz erfährt durch die Mitwirkungspflichten der Verfahrensparteien allerdings eine Einschränkung (Art. 13 VwVG; vgl. André Moser/Michael Beusch/Lorenz Kneubühler, Prozessieren vor dem Bundesverwaltungsgericht, 2. Aufl., Basel 2013, N 1.49 ff.). Im Mehrwertsteuerverfahren wird er zudem insbesondere durch das Selbstveranlagungsprinzip als spezialgesetzlich statuierte Mitwirkungspflicht der steuerpflichtigen Person relativiert (vgl. BVGE 2009/60 E. 2.1.2). 1.3.2 Gemäss dem Untersuchungsgrundsatz trägt die Behörde die Beweisführungslast (sog. subjektive oder formelle Beweislast). Wie sich all-fällige Zweifel nach abgeschlossener Sachverhaltsermittlung auf den Entscheid der Behörde auswirken, wird hingegen nicht geregelt. Für die (materielle) Beweislast ist - mangels spezialgesetzlicher Regelung - Art. 8 ZGB in analoger Anwendung massgebend. Gemäss dem darin verankerten Rechtsprinzip ist im Fall der Beweislosigkeit zu Ungunsten derjenigen Partei zu entscheiden, die aus dem unbewiesen gebliebenen Sachverhalt Rechte ableiten wollte (vgl. statt vieler: BVGE 2009/60 E. 2.1.3; Urteil des Bundesverwaltungsgerichts A-6537/2013, A-7158/2013 vom 23. September 2014 E. 3.4 mit Hinweisen; Krauskopf/Emmenegger, a.a.O., N 208 zu Art. 12 VwVG). Im Steuerrecht gilt grundsätzlich, dass die Steuerbehörde die Beweislast für die steuerbegründenden und -erhöhenden Tatsachen trägt, während die steuerpflichtige Person für die steueraufhebenden und -mindernden Tatsachen beweisbelastet ist (statt vieler: Urteil des Bundesgerichts 2C_232/2012 vom 23. Juli 2012 E. 3.5, veröffentlicht in: ASA 81 S. 422; Urteil des Bundesverwaltungsgerichts A-4206/2012 vom 13. März 2013 E. 2.2.1 mit Hinweisen).</w:t>
      </w:r>
    </w:p>
    <w:p>
      <w:r>
        <w:rPr>
          <w:b/>
        </w:rPr>
        <w:t>E. 1.4</w:t>
      </w:r>
    </w:p>
    <w:p>
      <w:r>
        <w:t>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Liegen sachliche Gründe vor, ist eine Rückweisung regelmässig mit dem Untersuchungsgrundsatz und dem Prinzip eines einfachen und raschen Verfahrens vereinbar (vgl. BGE 131 V 407 E. 2.1.1; Urteil des Bundesverwaltungsgerichts A-5017/2013 vom 15. Juli 2014 E. 1.5). Eine Rückweisung rechtfertigt sich insbesondere dann, wenn die Vorinstanz den Sachverhalt unrichtig oder unvollständig abgeklärt hat, einen Nichteintretensentscheid gefällt und folglich keine materielle Prüfung vorgenommen hat oder das Vorliegen eines Tatbestandselements zu Unrecht verneint und die anderen Elemente deshalb gar nicht geprüft hat (statt vieler: Urteil des Bundesverwaltungsgerichts A-6365/2012 vom 24. September 2013 E. 1.3). Die Vorinstanz ist mit den tatsächlichen Verhältnissen besser vertraut und darum im Allgemeinen besser in der Lage, die erforderlichen Abklärungen durchzuführen. Zudem bleibt der betroffenen Partei dergestalt der gesetzlich vorgesehene Instanzenzug erhalten (vgl. Urteile des Bundesverwaltungsgerichts A-770/2013 vom 8. Januar 2014 E. 1.3, A-4677/2010 vom 12. Mai 2011 E. 1.3, A-7604/2008 vom 6. Februar 2010 E. 3.2; Moser/Beusch/Kneubühler, a.a.O., N 3.194 f.).</w:t>
      </w:r>
    </w:p>
    <w:p>
      <w:r>
        <w:rPr>
          <w:b/>
        </w:rPr>
        <w:t>E. 2</w:t>
      </w:r>
    </w:p>
    <w:p>
      <w:r>
        <w:t>2.1 Der Inlandsteuer unterliegen die im Inland durch steuerpflichtige Personen gegen Entgelt erbrachten Leistungen; sie sind steuerbar, soweit das MWSTG keine Ausnahme vorsieht (Art. 18 Abs. 1 MWSTG). Wer mehrwertsteuerpflichtig ist, ergibt sich im Grundsatz aus Art. 10 MWSTG. 2.22.2.1 Eine Leistung gilt als von derjenigen Person erbracht, die nach aussen, d.h. gegenüber Dritten, in eigenem Namen auftritt (vgl. Art. 20 Abs. 1 MWSTG; statt vieler: Urteil des Bundesverwaltungsgerichts A-886/2014 vom 23. September 2014 E. 2.4 mit Hinweisen). 2.2.2 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(vgl. dazu: Ralf Imstepf, Die Zuordnung von Leistungen gemäss Art. 20 des neuen MWSTG, in: ASA 78 S. 757 ff., insb. S. 773 ff.). Ob sich ein Stellvertretungsverhältnis aus den Umständen ergibt, beurteilt sich nach der objektiven Wahrnehmung eines Dritten (vgl. Imstepf, a.a.O., in: ASA 78 S. 775; Alois Camen­zind/Niklaus Honauer/Klaus A. Vallender/Marcel R. Jung/Simeon L. Probst, Handbuch zum Mehrwertsteuergesetz, 3. Aufl., Bern 2012, N 949, 980; vgl. ausführlich: Urteil des Bundesverwaltungsgerichts A-5720/2012 vom 19. Februar 2014 E. 2.3). 2.2.3 Handelt bei einer Leistung der Vertreter zwar für fremde Rechnung, jedoch ohne dass er ausdrücklich im Namen des Vertretenen auftritt und ohne dass sich das Bestehen des Vertretungsverhältnisses aus den Umständen ergibt, liegen gleich zu qualifizierende Leistungsverhältnisse zwischen dem Vertretenen und dem (indirekten) Vertreter zum einen und dem (indirekten) Vertreter sowie dem Dritten (leistungsempfangende Person) zum anderen vor (vgl. Art. 20 Abs. 3 MWSTG; Urteile des Bundesverwaltungsgerichts A-886/2014 vom 23. September 2014 E. 2.4, A-6188/2012 vom 3. September 2013 E. 2.2.4 mit Hinweisen).</w:t>
      </w:r>
    </w:p>
    <w:p>
      <w:r>
        <w:rPr>
          <w:b/>
        </w:rPr>
        <w:t>E. 3</w:t>
      </w:r>
    </w:p>
    <w:p>
      <w:r>
        <w:t>3.1 Im vorliegenden Fall präsentiert sich die Ausgangslage wie folgt: 3.1.1 In seinem rechtskräftigen Urteil vom 6. November 2013 (Verfahren A-6437/2012) hält das Bundesverwaltungsgericht fest, dass es nach dem (hier anwendbaren [s. E. 1.2]) neuen Mehrwertsteuerrecht für den Nachweis eines Aussenauftritts in fremdem Namen ausreiche, wenn sich ein solcher Auftritt nach der objektiven Wahrnehmung eines Dritten aus den Umständen ergebe (vgl. E. 2.2.2 sowie [auch zum Folgenden] Sachverhalt Bst. F). Betreibe eine Person einen Handel mit Secondhand-Kleidern in direkter Stellvertretung, so erfolge die Identifikation der Verkäufer (d.h. der Eigentümer und Einlieferer der Kleider) typischerweise dadurch, dass anlässlich der Einlieferung jedem Kleid eine Nummer angeheftet werde, die - in der Regel über entsprechende Namenslisten - dem jeweiligen Eigentümer zugeordnet werden könne. In den betreffenden Käufer- bzw. Kundenkreisen könne diese Geschäftsgestaltung als allgemein bekannt vorausgesetzt werden. Mithin lägen im Kontext des Secondhand-Kleider-Handels bei einer Geschäftsgestaltung mit Nummern notorischerweise Umstände vor, aus denen sich das Bestehen eines direkten Stellvertretungsverhältnisses ergebe bzw. die den objektiven Kunden eines solchen Geschäfts darauf schliessen liessen, dass die Geschäftsbetreiberin die entsprechenden Verkäufe lediglich - in der Regel auf Provisionsbasis - vermittle. Zur rechtsgenügenden Abklärung, ob im Fall der Beschwerdeführerin solche (oder allenfalls andere) Umstände vorliegen, sowie zum anschliessenden Erlass eines neuen Entscheids wies das Bundesverwaltungsgericht die Streitsache an die Vorinstanz zurück. 3.1.2 In der Folge forderte die Vorinstanz von der Beschwerdeführerin mit Schreiben vom 14. Januar 2014 verschiedene Unterlagen ein (vgl. Sachverhalt Bst. G). Diese reichte daraufhin mehrere Bundesordner mit Buchhaltungsbelegen uns sonstigen Dokumenten ein (insbesondere diverse Kontoauszüge, Abrechnungen von Kartendienstleistern, Auszahlungsbelege an die Einlieferer der Kleider, vereinzelte Einlieferungsbelege [insbesondere im Fall von Kundenretouren] und Kleideretiketten). Am 16. Juni 2014 erliess die Vorinstanz den betreffenden (neuen, hier angefochtenen) "Einspracheentscheid". Darin führt sie im Wesentlichen aus, dass auf den von der Beschwerdeführerin eingereichten (handgeschriebenen oder bedruckten) Kleideretiketten die fraglichen Einlieferernummern - nebst anderen Angaben - zwar vorhanden seien. Jedoch sei für die Kunden der Beschwerdeführerin nicht erkennbar, dass es sich bei den betreffenden Nummern um die Einlieferernummern handle. Derlei ergebe sich erst aus den (für die Kunden nicht einsehbaren) übrigen Unterlagen der Beschwerdeführerin. Ausserdem seien im Rahmen der Untersuchung auch Umstände festgestellt worden, die auf einen Leistungsauftritt der Beschwerdeführerin in eigenem Namen schliessen liessen. So weise diese in der Aussenbeschriftung ihrer Verkaufsläden auch auf "Firsthand"-Mode hin. Mit der entsprechenden Überschrift ("[...]") trete sie sodann im Internet auf, wo sie im fraglichen Zeitraum - ohne Hinweis auf etwaige Einlieferernummern - auch "Neuware", "Outletware" sowie eigene Kreationen in einem Webshop angeboten habe. Unter diesen Umständen könne nicht gesagt werden, dass die auf den Kleideretiketten befindlichen Nummern auf einen Aussenauftritt der Beschwerdeführerin in fremdem Namen bzw. ein direktes Stellvertretungsverhältnis schliessen liessen.</w:t>
      </w:r>
    </w:p>
    <w:p>
      <w:r>
        <w:rPr>
          <w:b/>
        </w:rPr>
        <w:t>E. 3.2</w:t>
      </w:r>
    </w:p>
    <w:p>
      <w:r>
        <w:t>Die Ausführungen der Vorinstanz sind wie folgt zu beurteilen:</w:t>
      </w:r>
    </w:p>
    <w:p>
      <w:r>
        <w:rPr>
          <w:b/>
        </w:rPr>
        <w:t>E. 3.2.1</w:t>
      </w:r>
    </w:p>
    <w:p>
      <w:r>
        <w:t>Zunächst ist festzuhalten, dass es vorliegend der Beschwerdeführerin dem Grundsatz nach (unbestrittenermassen) gelingt, die von ihr im (früheren) Verfahren A-6437/2012 behauptete Ausgestaltung ihres Secondhand-Geschäfts unter Verwendung von an den Kleidern angehefteten Nummern zur Identifikation und Zuordnung der Einlieferer nachzuweisen. Weiter ist zwischen den Parteien unbestritten, dass die Beschwerdeführerin im fraglichen Zeitraum mit Secondhand-Kleidern handelte und dies für ihre Kunden - namentlich aufgrund der Geschäftsbezeichnung "..." im Internet sowie als Aussenbeschriftung der Läden - auch objektiv erkennbar war. Sodann ergibt sich aus den Akten, dass an den in den Läden der Beschwerdeführerin verkauften Kleidern (handbeschriebene oder bedruckte) Etiketten angebracht waren auf denen nebst anderen Angaben (Warennummer, Warenbezeichnung, Verkaufspreis, teilweise weitere Angaben wie Grösse, Farbe, Marke usw.) eine zwei- bis dreistellige Nummer (bei den bedruckten Etiketten sind es insgesamt zwar fünf Ziffern, die ersten beiden Ziffern sind jedoch die Null) zur Identifikation und Zuordnung der Einlieferer vermerkt ist. Bereits angesichts dieser Sachverhaltselemente kann als erstellt betrachtet werden, dass die Beschwerdeführerin zumindest einen Teil ihrer Waren im klassischen Secondhand-Geschäft vertrieb. Mit anderen Worten liegen hier gemäss dem erwähnten rechtskräftigen Urteil des Bundesverwaltungsgerichts (s. E. 3.1.1) notorischerweise Umstände vor, die darauf schliessen lassen, dass die Beschwerdeführerin insgesamt mindestens einen Teil der fraglichen Kleiderverkäufe lediglich vermittelt hat bzw. gegenüber ihren Kunden insoweit in fremdem Namen aufgetreten ist (vgl. E. 2.2.2). Das vorinstanzliche Vorbringen, für die Kunden der Beschwerdeführerin sei ohne Konsultation der übrigen (nicht zum Aussenauftritt gehörenden) Unterlagen der Beschwerdeführerin nicht erkennbar, dass es sich bei den fraglichen zwei- bis dreistelligen Nummern um die Einlieferernummern handle, vermag unter den gegebenen Umständen und angesichts der verbindlichen Weisungen des Bundesverwaltungsgerichts im rechtskräftigen Urteil vom 6. November 2013 nicht zu überzeugen. Denn wie im genannten Urteil festgehalten, ist die betreffende (vorliegend nunmehr sachverhaltlich erstellte) Ausgestaltung des Secondhand-Geschäfts weit verbreitet und kann daher in den entsprechenden Kundenkreisen als allgemein bekannt vorausgesetzt werden. Ausserdem ergibt sich für einen entsprechenden Secondhand-Kunden bei einem Blick auf die fraglichen Etiketten ohne weiteres, dass es sich bei diesen zwei- bis dreistelligen Nummern um die Einlieferernummern handeln muss, zumal es sich offensichtlich nicht um andere - im Secondhand-Geschäft zwar grundsätzlich ebenfalls gebräuchliche - Angaben wie namentlich über den Verkaufspreis, die Kleidergrösse oder die Warennummer handeln kann. Folglich hat die Vorinstanz im angefochtenen "Einspracheentscheid" das (für die direkte Stellvertretung zentrale [vgl. E. 2.2.2]) Tatbestandselement des Aussenauftritts in fremdem Namen hinsichtlich des in der geschilderten Weise (Secondhand mit Nummern) erfolgten Teils des Kleiderverkaufs zu Unrecht verneint.</w:t>
      </w:r>
    </w:p>
    <w:p>
      <w:r>
        <w:rPr>
          <w:b/>
        </w:rPr>
        <w:t>E. 3.2.2</w:t>
      </w:r>
    </w:p>
    <w:p>
      <w:r>
        <w:t>Freilich ist mit der Vorinstanz nicht zu verkennen, dass die Beschwerdeführerin im fraglichen Zeitraum in einem gewissen Umfang auch Leistungen in eigenem Namen erbracht hat bzw. selbst als Leistungserbringerin gegen aussen aufgetreten ist (vgl. E. 2.2.1). So hat sie insbesondere - gemäss eigenen Angaben sowie den entsprechenden Feststellungen im angefochtenen "Einspracheentscheid" - eigene Modekreationen ("selbst genähte T-Shirts") in ihren Läden und im Webshop angeboten und dort (Laden/Webshop) offenbar auch einige sonstige Kleiderverkäufe in eigenem Namen getätigt. Entgegen der Auffassung der Vorinstanz führt diese Sachlage nun aber nicht zu einer anderen Beurteilung des festgestellten Aussenauftritts der Beschwerdeführerin in fremdem Namen bezüglich des in der geschilderten Weise erfolgten Teils der Kleiderverkäufe. Die Vorinstanz verkennt insofern die rechtliche Tragweite ihrer (grundsätzlich zutreffenden) sachverhaltlichen Feststellung, wonach die Beschwerdeführerin mindestens einen Teil ihrer Waren in eigenem Namen verkauft hat. Diese Feststellung hat nämlich nicht zur Folge, dass die Beschwerdeführerin (sozusagen "automatisch") auch bezüglich des in der voranstehend geschilderten Weise (s. E. 3.2.1) erfolgten Teils der Kleiderverkäufe als Leistungserbringerin zu gelten hat. Denn insoweit steht wie gesagt sachverhaltlich nunmehr fest, dass die Beschwerdeführerin gegenüber ihren Kunden nach den Umständen in fremdem Namen aufgetreten ist. Die fragliche Feststellung hätte die Vorinstanz daher vielmehr dazu veranlassen müssen, vorliegend zwischen Leistungen zu unterscheiden, welche die Beschwerdeführerin nach den (nunmehr erstellen, hiervor dargestellten) Umständen in fremdem Namen erbracht hat (Kleiderverkäufe in der geschilderten Weise), und Leistungen, welche sie in eigenem Namen erbracht hat bzw. bezüglich derer sie selbst als Leistungserbringerin aufgetreten ist (Verkäufe von "selbst genähten T-Shirts" und einigen sonstigen Kleidungsstücken in eigenem Namen).</w:t>
      </w:r>
    </w:p>
    <w:p>
      <w:r>
        <w:rPr>
          <w:b/>
        </w:rPr>
        <w:t>E. 3.2.3</w:t>
      </w:r>
    </w:p>
    <w:p>
      <w:r>
        <w:t>Weil die Vorinstanz nun aber den Aussenauftritt der Beschwerdeführerin in fremdem Namen in Bezug auf den in der geschilderten Weise erfolgten Teil der Kleiderverkäufe (und damit das zentrale Tatbestandselement der direkten Stellvertretung [vgl. E. 2.2.2]) zu Unrecht verneint hat (s. E. 3.2.1), hat sie es auch zu Unrecht unterlassen, die für die Abgrenzung der beiden genannten Teile (Kleiderverkäufe in eigenem und in fremdem Namen) und die entsprechende Berechnung der Steuerforderung notwendigen Abklärungen vorzunehmen. Zwar obliegt es grundsätzlich der Beschwerdeführerin, nachzuweisen, in welchem Umfang sie Leistungen in direkter Stellvertretung (Vermittlungsleistungen bzw. Kleiderverkäufe in der geschilderten Weise) erbracht hat (vgl. E. 1.3.2 und 2.2.2), und zu diesem Zweck von den insgesamt erwirtschafteten Beträgen das Entgelt der Einlieferer (eigentliche Verkäufer) sowie die in eigenem Namen erzielten Umsätze ("selbständige" Verkäufe in den Läden oder via Webshop) auszuscheiden. Zuvor hat die Vorinstanz die entsprechende Mitwirkung jedoch überhaupt zu ermöglichen, indem sie im Rahmen ihrer Untersuchungspflicht die diesbezüglich angebotenen Beweise abnimmt, die eingereichten Unterlagen entsprechend prüft und allenfalls fehlende relevante Unterlagen einfordert (vgl. E. 1.3.1). Dies hat die Vorinstanz vorliegend aus dem genannten Grund (kategorische Verneinung des Aussenauftritts in fremdem Namen) zu Unrecht nicht getan. Im Übrigen nimmt sie im angefochtenen "Einspracheentscheid" wohl aus demselben Grund nicht abschliessend dazu Stellung, ob es der Beschwerdeführerin im Einzelfall gelingt, die vertretenen Personen - namentlich anhand der Einlieferernummern und entsprechenden Namenslisten - gegenüber der Vorinstanz eindeutig zu identifizieren (vgl. E. 2.2.2). Die Streitsache ist zur Vornahme der nach dem Vorstehenden zu Unrecht unterbliebenen, aber erforderlichen weiteren Abklärungen im Sinn der Erwägungen (insbesondere zwecks detaillierter Überprüfung der von der Beschwerdeführerin eingereichten Unterlagen unter dem Gesichtspunkt des Nachweises des Umfangs der direkten Stellvertretung sowie zwecks Einforderung der zu diesem Nachweis allenfalls erforderlichen zusätzlichen Unterlagen) und zu neuem Entscheid im Sinn der Erwägungen an die Vorinstanz zurückzuweisen (E. 1.4).</w:t>
      </w:r>
    </w:p>
    <w:p>
      <w:r>
        <w:rPr>
          <w:b/>
        </w:rPr>
        <w:t>E. 4</w:t>
      </w:r>
    </w:p>
    <w:p>
      <w:r>
        <w:t>4.1 Gemäss Art. 63 Abs. 1 VwVG sind die Verfahrenskosten der unterliegenden Partei aufzuerlegen. In der Verwaltungsrechtspflege des Bundes gilt die Rückweisung der Sache an die Vorinstanz zu weiteren Abklärungen und neuem Entscheid (mit noch offenem Ausgang) praxisgemäss als volles Obsiegen der beschwerdeführenden Partei (statt vieler: BGE 132 V 215 E. 6.1 mit Hinweisen). Die Beschwerdeführerin gilt somit als obsiegend, weshalb ihr keine Verfahrenskosten aufzuerlegen sind. Der von ihr geleistete Kostenvorschuss von Fr. 1'000.-- ist ihr nach Eintritt der Rechtskraft des vorliegenden Urteils zurückzuerstatten. Der unterliegenden Vorinstanz können als Bundesbehörde keine Verfahrenskosten auferlegt werden (Art. 63 Abs. 2 VwVG).</w:t>
      </w:r>
    </w:p>
    <w:p>
      <w:r>
        <w:rPr>
          <w:b/>
        </w:rPr>
        <w:t>E. 4.2</w:t>
      </w:r>
    </w:p>
    <w:p>
      <w:r>
        <w:t>Die Beschwerdeinstanz kann der ganz oder teilweise obsiegenden Partei von Amtes wegen oder auf Begehren eine Entschädigung für ihr erwachsene notwendige und verhältnismässig hohe Kosten zusprechen (Art. 64 Abs. 1 VwVG). Da der anwaltlich nicht vertretenen Beschwerdeführerin keine verhältnismässig hohen Kosten entstanden sind, ist von der Zusprechung einer Parteientschädigung abzusehen (vgl.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