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A-4584/2011 vom 20. November 2012</w:t>
      </w:r>
    </w:p>
    <w:p>
      <w:r>
        <w:t>Bundesverwaltungsgericht, 2012-11-20, DE</w:t>
      </w:r>
    </w:p>
    <w:p>
      <w:r>
        <w:rPr>
          <w:b/>
        </w:rPr>
        <w:t xml:space="preserve">Quelle: </w:t>
      </w:r>
      <w:r>
        <w:t>https://mcp.opencaselaw.ch/entscheid/bvger_A-4584_2011</w:t>
      </w:r>
    </w:p>
    <w:p>
      <w:r>
        <w:t>FR: TAF A-4584/2011 du 20 novembre 2012</w:t>
      </w:r>
    </w:p>
    <w:p>
      <w:r>
        <w:t>IT: TAF A-4584/2011 del 20 novembre 2012</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dieses Gericht Beschwerden gegen Verfügungen nach Art. 5 des Bundesgesetzes vom 20. Dezember 1968 über das Verwaltungsverfahren (VwVG, SR 172.021), sofern keine Ausnahme nach Art. 32 VGG gegeben ist. Eine solche liegt nicht vor und die Vorinstanz ist eine Behörde im Sinn von Art. 33 VGG. Das Bundesverwaltungsgericht ist daher für die Beurteilung der vorliegenden Beschwerde zuständig.</w:t>
      </w:r>
    </w:p>
    <w:p>
      <w:r>
        <w:rPr>
          <w:b/>
        </w:rPr>
        <w:t>E. 1.2</w:t>
      </w:r>
    </w:p>
    <w:p>
      <w:r>
        <w:t>Vorweg gilt es zu klären, wer im vorliegenden Verfahren Partei ist. Die angefochtene Verfügung nennt als solche B._______ "als Nachtragsliquidatorin der gelöschten A._______". Eingegangen wird vorerst auf den Begriff der Partei im Verwaltungsverfahren (E. 1.2.1). Geklärt werden müssen weiter das auf die Partei- und Prozessfähigkeit im internationalen Verhältnis anwendbare Recht (E. 1.2.2) und der Begriff der Nachtragsliquidation (E. 1.2.3) und anschliessend ist auf die vorliegenden Verhältnisse einzugehen (E. 1.2.4).</w:t>
      </w:r>
    </w:p>
    <w:p>
      <w:r>
        <w:rPr>
          <w:b/>
        </w:rPr>
        <w:t>E. 1.2.1</w:t>
      </w:r>
    </w:p>
    <w:p>
      <w:r>
        <w:t>Als Parteien in einem Verwaltungsverfahren gelten gemäss Art. 6 VwVG Personen, deren Rechte oder Pflichten die Verfügung berühren soll und andere Personen, denen ein Rechtsmittel gegen die Verfügung zusteht. Art. 6 VwVG erfasst also zwei Konstellationen: Parteistatus haben die eigentlichen materiellen Verfügungsadressaten, deren Rechte oder Pflichten die Verfügung berührt und mit denen ein Rechtsverhältnis geregelt werden soll. Daneben sind Partei weitere Rechtssubjekte, die zur Beschwerde gegen die Verfügung berechtigt sind. Die zweite Konstellation von Art. 6 VwVG knüpft damit an die Beschwerdelegitimation nach Art. 48 VwVG an (ISABELLE HÄNER, in: Christoph Auer/ Markus Müller/Benjamin Schindler [Hrsg.], Kommentar zum Bundesgesetz über das Verwaltungsverfahren [VwVG], Zürich 2008 [nachfolgend: VwVG-Kommentar], N. 1, 5 f. zu Art. 6; MARANTELLI-SONANINI/HUBER, a.a.O., N. 3, 7, 16 zu Art. 6; beide je auch zum Folgenden). Eine bloss fehlerhafte Parteibezeichnung kann durch die Behörde berichtigt werden. Dies ist statthaft, wenn die Identität der Partei von Anfang an eindeutig feststand und bloss deren Benennung formell falsch war. Diesfalls kann durch die Behörde bzw. die Beschwerdeinstanz eine Berichtigung erfolgen, ohne dass der angefochtene Entscheid aufgehoben werden muss (BGE 131 I 57 E. 2.2; 129 V 300E. 3.2; 116 V 335 E. 4; Urteile des Bundesverwaltungsgerichts A-6610/2009 vom 21. April 2010 E. 2.4 und 3.2, A-1513/2006 vom 24. April 2009 E. 5.2 mit weiteren Hinweisen; MARANTELLI-SONANINI/HUBER, Praxiskommentar VwVG, a.a.O., N. 48 zu Art. 6 und Fn. 136 mit Hinweisen; UHLMANN/SCHWANK, a.a.O., N. 13 zu Art. 38).</w:t>
      </w:r>
    </w:p>
    <w:p>
      <w:r>
        <w:rPr>
          <w:b/>
        </w:rPr>
        <w:t>E. 1.2.2</w:t>
      </w:r>
    </w:p>
    <w:p>
      <w:r>
        <w:t>Im internationalen Verhältnis beurteilen sich die Partei- und Prozessfähigkeit nach dem gleichen Recht wie die Rechts- und Handlungsfähigkeit. Massgebend ist bei juristischen Personen das Recht des Personalstatuts (vgl. Art. 154 und Art. 155 Bst. c des Bundesgesetzes vom 18. Dezember 1987 über das internationale Privatrecht [IPRG, SR 291]), d.h. des Ortes, wo die juristische Person errichtet wurde (Inkorporationstheorie) oder ihren statutarischen oder effektiven Sitz hat (Sitztheorie; vgl. Urteile des Bundesgerichts 2C_303/2010 vom 24. Oktober 2011 E. 2.3.1, 2A.111/2004 vom 15. Juli 2004 E. 6.1; vgl. auch BGE 117 II 494 E. 4a).</w:t>
      </w:r>
    </w:p>
    <w:p>
      <w:r>
        <w:rPr>
          <w:b/>
        </w:rPr>
        <w:t>E. 1.2.3</w:t>
      </w:r>
    </w:p>
    <w:p>
      <w:r>
        <w:t>Gemäss deutschem Recht ist eine Gesellschaft mit beschränkter Haftung (GmbH) nach erfolgter Liquidation im Handelsregister zu löschen (§ 74 Abs. 1 des Gesetzes betreffend GmbH [GmbHG]). Stellt sich nach der Löschung der Gesellschaft noch Vermögen oder anderer Handlungsbedarf heraus, so ist eine sog. Nachtragsliquidation durchzuführen. Es kommt dabei nicht darauf an, weshalb die GmbH gelöscht worden ist. Eine Nachtragsliquidation ist im GmbHG erst neuerdings in § 66 Abs. 5 (in Kraft seit dem 1. Januar 1999) konkret vorgesehen. Die Möglichkeit der Nachtragsliquidation wurde jedoch bereits vorher von der Lehre und Rechtsprechung bejaht. Die scheinbar beendete Gesellschaft besteht in Wirklichkeit noch (Henning Rasner, in: Rowedder/Schmidt-Leithoff [Hrsg.], GmbHG Kommentar, 4. Auflage, München 2002, § 74 Rz. 18). Die Nachtragliquidatoren sind durch das Gericht am Ort des massgebenden Handelsregisters zu bestellen (Rasner, a.a.O., § 74 Rz. 24). Die Vertretungsmacht der Nachtragsliquidatoren ist unbeschränkt, wenn noch Restvermögen vorhanden ist; sind nur einzelne Abwicklungshandlungen nötig, dann ist die Vertretungsmacht darauf beschränkt (Rasner, a.a.O., § 74 Rz. 25). Die Wiedereintragung der GmbH im Handelsregister ist grundsätzlich erforderlich. Sind nur einzelne Abwicklungsmassnahmen vorzunehmen, kann indessen die Eintragung der Gesellschaft unterbleiben (Joachim Schulze-Osterloh/Lorenz Fastrich, in: Baumbach/Hueck [Hrsg.], GmbHG, 18. Auflage, München 2006, § 60 Rz. 68). Die Prozesssituation der Gesellschaft, die gelöscht ist, aber noch Vermögen oder anderen Abwicklungsbedarf hat, ist gekennzeichnet von der unverändert bestehenden Parteifähigkeit (Rasner, a.a.O., § 74 Rz. 30). Durch die Bestellung einer Nachtragsliquidatorin wird die Gesellschaft wieder handlungs- und prozessfähig (vgl. Urteil des Bundesgerichtshofs [BGH] VII ZR 162/09 vom 29. September 2011 E. II 3; Urteil des Bundesarbeitsgerichts 9 AZR 752/00 vom 19. März 2002 E. II 2b).</w:t>
      </w:r>
    </w:p>
    <w:p>
      <w:r>
        <w:rPr>
          <w:b/>
        </w:rPr>
        <w:t>E. 1.2.4</w:t>
      </w:r>
    </w:p>
    <w:p>
      <w:r>
        <w:t>Das vorliegende Verfahren - wie bereits jenes vor der Vorinstanz - hat zum Ziel zu entscheiden, ob die ESTV allfällige von der A._______ noch nicht geltend gemachte Vorsteuern der Jahre 1995 und 1996 zurück zu erstatten hat. Verfahrensgegenstand ist somit ein behauptetes Recht der A._______, weshalb diese grundsätzlich Verfahrenspartei ist (E. 1.2.1). Die A._______ wurde nach deutschem Recht errichtet und hatte auch in Deutschland ihren Sitz. Für die Beurteilung der Partei- und Prozessfähigkeit dieser Gesellschaft ist demnach das deutsche Recht massgebend (E. 1.2.2). Obwohl die A._______ im Handelsregister gelöscht wurde (E. A.), ist sie weiterhin parteifähig, da aufgrund des behaupteten Anspruchs gegenüber der ESTV auf Rückforderung von Vorsteuern noch Abwicklungsbedarf besteht (E. 1.2.3). Durch die Bestellung von B._______ als Nachtragsliquidatorin ist die A._______ zudem bezüglich der strittigen Rückerstattung von Vorsteuern wieder prozessfähig geworden (E. 1.2.3), denn der vom Amtsgericht Konstanz festgelegte Wirkungsbereich der Nachtragsliquidatorin (Steuerabrechnungen für die Jahre 1995 bis 1998 gegenüber den Schweizer Steuerbehörden) deckt die vorliegende Beschwerdeeingabe gegen den Einspracheentscheid der ESTV ab. Partei, parteifähig und prozessfähig ist somit die A._______ und B._______ handelte und handelt lediglich als deren Organ. Der angefochtene Entscheid enthält somit eine fehlerhafte Parteibezeichnung, indem er auf B._______ statt auf die A._______ lautet. Die Identität der Prozesspartei stand jedoch von Anfang an fest, weshalb durch das Bundesverwaltungsgericht eine Berichtigung erfolgen kann, ohne dass der angefochtene Entscheid aufgehoben werden muss (E. 1.2.1). B._______ vertrat und vertritt vor der Vorinstanz und in diesem Verfahren nicht ihre eigenen Interessen, sondern handelte und handelt als Organ der A._______. Das von ihr Vorgebrachte ist der A._______ zuzurechnen, weshalb sich für diese aus einer Berichtigung der Parteibezeichnung auch kein Nachteil ergibt. Es ist noch zu erwähnen, dass das Bundesverwaltungsgericht mit Verfügung vom 19. Januar 2012 das Gesuch von B._______ um unentgeltliche Prozessführung abgewiesen hat. Dabei hat es bereits darauf hingewiesen, dass es zu einem späteren Zeitpunkt zu klären haben werde, ob B._______ Partei des vorliegenden Verfahrens sei oder lediglich als Organ der gelöschten Gesellschaft gehandelt habe. Für die Frage der unentgeltlichen Prozessführung spiele diese Unterscheidung jedoch keine Rolle, weil die Mittellosigkeit von B._______ in beiden Konstellationen Voraussetzung für die Zusprechung der unentgeltlichen Prozessführung sei. Es kann auf das dort in E. 2 Ausgeführte verwiesen werden. Im vorliegenden Zusammenhang ist lediglich festzuhalten, dass die Berichtigung der Parteibezeichnung, wie bereits in der Verfügung vom 19. Januar 2012 E. 2 ausgeführt, bezüglich der Verweigerung der unentgeltlichen Prozessführung keine Auswirkungen hat.</w:t>
      </w:r>
    </w:p>
    <w:p>
      <w:r>
        <w:rPr>
          <w:b/>
        </w:rPr>
        <w:t>E. 1.2.5</w:t>
      </w:r>
    </w:p>
    <w:p>
      <w:r>
        <w:t>Demnach ist das Rubrum dahingehend zu berichtigen, dass die A._______ als Partei aufzuführen ist. Diese handelt durch B._______ in ihrer Eigenschaft als Nachtragsliquidatorin und wird im vorliegenden Verfahren durch den im Rubrum genannten Rechtsanwalt vertreten. Die A._______ wird im Folgenden Beschwerdeführerin genannt.</w:t>
      </w:r>
    </w:p>
    <w:p>
      <w:r>
        <w:rPr>
          <w:b/>
        </w:rPr>
        <w:t>E. 1.3</w:t>
      </w:r>
    </w:p>
    <w:p>
      <w:r>
        <w:t>Die Beschwerdeführerin war somit am vorinstanzlichen Verfahren beteiligt und erfüllt auch die übrigen Voraussetzungen der Beschwerdelegitimation (Art. 48 Abs. 1 VwVG). Die Beschwerde wurde auch form- und fristgerecht eingereicht, weshalb auf sie einzutreten ist.</w:t>
      </w:r>
    </w:p>
    <w:p>
      <w:r>
        <w:rPr>
          <w:b/>
        </w:rPr>
        <w:t>E. 1.4</w:t>
      </w:r>
    </w:p>
    <w:p>
      <w:r>
        <w:t>Auf den 1. Januar 2010 wurde das neue Bundesgesetz über die Mehrwertsteuer vom 12. Juni 2009 (MWSTG, SR 641.20) in Kraft gesetzt. Es trat an die Stelle des Bundesgesetzes vom 2. September 1999 über die Mehrwertsteuer (aMWSTG, AS 2000 1300), in Kraft seit 1. Januar 2001, welches seinerseits die aMWSTV ersetzte. Auf die vor dem 1. Januar 2010 resp. vor dem 1. Januar 2001 eingetretenen Tatsachen und entstandenen Rechtsverhältnisse bleibt das bisherige Recht anwendbar (Art. 112 Abs. 1 und 2 MWSTG, Art. 93 Abs. 1 und 2 aMWSTG). Der vorliegend zu beurteilende Sachverhalt hat sich in den Jahren 1995 bis 1996 verwirklicht, weshalb in materieller Hinsicht noch die aMWSTV zur Anwendung gelangt (Art. 112 Abs. 1 letzter Satz MWSTG i.V.m. Art. 93 aMWSTG; vgl. auch Urteile des Bundesverwaltungsgerichts A-3817/2008 vom 20. Juli 2010 E. 1.4, A-4360/2008 und A-4415/2008 vom 4. März 2010 E. 1.2). Demgegenüber ist das neue mehrwertsteuerliche Verfahrensrecht im Sinne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(Urteile des Bundesverwaltungsgerichts A-852/2012 vom 27. September 2012 E. 1.5, A-1113/2009 vom 23. Februar 2010 E. 1.3.3.2, E. 1.3.4 und E. 1.3.5). Zu beachten ist im Übrigen, dass die Verjährung ein materiell-rechtliches Institut darstellt (vgl. dazu BGE 126 II 1 E. 2a, mit weiteren Hinweisen).</w:t>
      </w:r>
    </w:p>
    <w:p>
      <w:r>
        <w:rPr>
          <w:b/>
        </w:rPr>
        <w:t>E. 1.5</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N 2.149; Ulrich Häfelin/Georg Müller/Felix Uhlmann, Allgemeines Verwaltungsrecht, 6. Aufl., Zürich/St. Gallen 2010, N 1758 ff.).</w:t>
      </w:r>
    </w:p>
    <w:p>
      <w:r>
        <w:rPr>
          <w:b/>
        </w:rPr>
        <w:t>E. 2.1</w:t>
      </w:r>
    </w:p>
    <w:p>
      <w:r>
        <w:t>Der Grundsatz der Gewährung des rechtlichen Gehörs ist in Art. 29 Abs. 2 der Bundesverfassung der Schweizerischen Eidgenossenschaft vom 18. April 1999 (BV, SR 101) festgehalten. Danach haben Parteien das Recht, in einem vor einer Verwaltungs- oder Justizbehörde geführten Verfahren sich vor Erlass eines belastenden Entscheids zur Sache zu äussern, Begehren zu stellen, Einblick in die Akten zu erhalten, erhebliche Beweise beizubringen und mit erheblichen Beweisanträgen gehört zu werden (BGE 135 II 286 E. 5.1, BGE 132 II 485 E. 3.2, BGE 129 I 232 E. 3.2; BVGE 2009/36 E. 7.1; Urteile des Bundesverwaltungsgerichts A 737/2012 vom 5. April 2012 E. 2.1, A 6873/2010 vom 7. März 2011 E. 4.2, A 4034/2010 vom 11. Oktober 2010 je mit Hinweisen).</w:t>
      </w:r>
    </w:p>
    <w:p>
      <w:r>
        <w:rPr>
          <w:b/>
        </w:rPr>
        <w:t>E. 2.2</w:t>
      </w:r>
    </w:p>
    <w:p>
      <w:r>
        <w:t>Das Akteneinsichtsrecht bezieht sich auf sämtliche verfahrensbezogenen Akten, die geeignet sind, Grundlage des Entscheids zu bilden. Die Akteneinsicht ist demnach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überlassen sein, die Relevanz der Akten zu beurteilen (BGE 132 V 387 E. 3.2; Urteile des Bundesgerichts 1B_287/2012 vom 25. Juni 2012 E. 2.3, 1C_14/2010 vom 17. Juni 2010 E. 2.3).</w:t>
      </w:r>
    </w:p>
    <w:p>
      <w:r>
        <w:rPr>
          <w:b/>
        </w:rPr>
        <w:t>E. 2.3</w:t>
      </w:r>
    </w:p>
    <w:p>
      <w:r>
        <w:t>Der Gehörsanspruch ist gemäss ständiger Rechtsprechung formeller Natur, mit der Folge, dass seine Verletzung ungeachtet der Erfolgsaussichten der Beschwerde grundsätzlich zur Aufhebung des mit dem Verfahrensmangel behafteten Entscheids führt. Eine Verletzung des Gehörsanspruchs kann allerdings als geheilt gelten, wenn die unterbliebene Gewährung des rechtlichen Gehörs (also etwa die unterlassene Anhörung, Akteneinsicht, Begründung) in einem Rechtsmittelverfahren nachgeholt wird, in dem die Beschwerdeinstanz mit der gleichen Prüfungsbefugnis entscheidet wie die untere Instanz. Die Heilung ist jedoch ausgeschlossen, wenn es sich um eine besonders schwerwiegende Verletzung der Parteirechte handelt; die Heilung des Mangels soll die Ausnahme bleiben (BGE 133 I 201 E. 2.2, BGE 126 V 130 E. 2b; Urteil des Bundesgerichts 1C_148/2010 vom 6. September 2010 E. 4.3; Urteile des Bundesverwaltungsgerichts A 737/2012 vom 5. April 2012 E. 2.1.2, A 2866/2011 vom 12. Dezember 2011 E. 2.1; Häfelin/Müller/Uhlmann, a.a.O., Rz. 1709 ff.).</w:t>
      </w:r>
    </w:p>
    <w:p>
      <w:r>
        <w:rPr>
          <w:b/>
        </w:rPr>
        <w:t>E. 3.1</w:t>
      </w:r>
    </w:p>
    <w:p>
      <w:r>
        <w:t>Der Mehrwertsteuer unterliegen u.a. im Inland durch Steuerpflichtige gegen Entgelt erbrachte Lieferungen von Gegenständen (Art. 4 Bst. a aMWSTV). Eine Lieferung liegt vor, wenn die Befähigung verschafft wird, im eigenen Namen über einen Gegenstand wirtschaftlich zu verfügen (Art. 5 Abs. 1 aMWSTV).</w:t>
      </w:r>
    </w:p>
    <w:p>
      <w:r>
        <w:rPr>
          <w:b/>
        </w:rPr>
        <w:t>E. 3.2.1</w:t>
      </w:r>
    </w:p>
    <w:p>
      <w:r>
        <w:t>Verwendet der Steuerpflichtige Gegenstände oder Dienstleistungen für steuerbare Ausgangsleistungen, so kann er gemäss Art. 29 Abs. 1 Bst. a aMWSTV in seiner Steuerabrechnung die ihm von anderen Steuerpflichtigen mit den Angaben nach Art. 28 aMWSTV in Rechnung gestellte Steuer für Lieferungen und Dienstleistungen abziehen. Erfüllen die Vorsteuerbelege die Anforderungen von Art. 28 aMWSTV nicht, muss der Vorsteuerabzug verweigert werden (Urteile des Bundesverwaltungsgerichts A 1515/2006 vom 25. Juni 2008 E. 2.5, A-1476/2006 vom 26. April 2007 E. 4.2.1, A 1438/2006 vom 11. Juni 2007 E. 3.1, 3.2).</w:t>
      </w:r>
    </w:p>
    <w:p>
      <w:r>
        <w:rPr>
          <w:b/>
        </w:rPr>
        <w:t>E. 3.2.2</w:t>
      </w:r>
    </w:p>
    <w:p>
      <w:r>
        <w:t>Am 1. Juli 2006 traten Art. 15a und Art. 45a der Verordnung vom 29. März 2000 zum aMWSTG (aMWSTGV, AS 2006 2353) in Kraft. Nach Art. 15a aMWSTGV hat die ESTV auch Rechnungen und Rechnungen ersetzende Dokumente anzuerkennen, welche die Anforderungen an die Angaben zu Namen und Adresse der steuerpflichtigen Person und zum Empfänger der Lieferung oder der Dienstleistung nach Art. 28 Abs. 1 Bst. a und b aMWSTV nicht vollumfänglich erfüllen, sofern die tatsächlich vorhandenen Angaben die betreffenden Personen eindeutig identifizieren. Allein aufgrund von Formmängeln wird überdies gemäss Art. 45a aMWSTGV keine Steuernachforderung erhoben, wenn erkennbar ist oder die steuerpflichtige Person nachweist, dass durch die Nichteinhaltung einer Formvorschrift des Gesetzes oder dieser Verordnung für die Erstellung von Belegen für den Bund kein Steuerausfall entstanden ist (zu diesen Bestimmungen und deren rückwirkenden Anwendung ausführlich: Urteile des Bundesverwaltungsgerichts A 1438/2006 vom 11. Juni 2007 E. 3.3, A-1476/2006 vom 26. April 2007 E. 4.2.3, A-1352/2006 vom 25. April 2007 E. 6, A-1455/2006 vom 25. April 2007 E. 5.4). Das Vorhandensein einer Rechnung (oder eines entsprechenden Belegs) bleibt allerdings eine unabdingbare, materiellrechtliche Voraussetzung für den Vorsteuerabzug. Fehlt die Rechnung, kann dieser Mangel nicht durch Art. 15a oder Art. 45a MWSTGV geheilt werden. Hingegen können die einzelnen formellen Anforderungen betreffend den Inhalt der Rechnung von Art. 15a und Art. 45a MWSTGV gegebenenfalls erfasst werden (Urteil des Bundesgerichts 2C_263/2007 vom 24. August 2007 E. 5.1; Urteile des Bundesverwaltungsgerichts A 8017/2009 vom 2. September 2010 E. 2.4.2, A 1389/2006 vom 21. Januar 2008 E. 4.1).</w:t>
      </w:r>
    </w:p>
    <w:p>
      <w:r>
        <w:rPr>
          <w:b/>
        </w:rPr>
        <w:t>E. 3.2.3</w:t>
      </w:r>
    </w:p>
    <w:p>
      <w:r>
        <w:t>Verwendet der Steuerpflichtige Gegenstände oder Dienstleistungen für steuerbare Ausgangsleistungen, so kann er gemäss Art. 29 Abs. 1 Bst. c aMWSTV ebenfalls die von ihm oder von seinem Abnehmer auf der Einfuhr von Gegenständen der Eidgenössischen Zollverwaltung entrichtete Steuer in Abzug bringen. Bei der Einfuhrsteuer wird nicht auf das Vorliegen einer Leistung, sondern auf die grenzüberschreitende Warenbewegung ins Inland abgestellt. Für den Nachweis der Berechtigung zum Abzug der Steuer auf der Einfuhr sind deshalb nicht Rechnungen gemäss Art. 28 aMWSTV, sondern durch die Zollbehörden ausgestellte Belege erforderlich (Urteil des Bundesverwaltungsgerichts A 1515/2006 vom 25. Juni 2008 E. 2.5.2; Ivo P. Baumgartner, in: mwst.com, Kommentar zum Bundesgesetz über die Mehrwertsteuer, Basel/Genf/München 2000, Art. 38 Abs. 1-4, Rz. 33; Alois Camenzind/Niklaus Honauer/Klaus A. Vallender, Handbuch zum Mehrwertsteuergesetz [MWSTG], Bern 2003, Rz. 1387).</w:t>
      </w:r>
    </w:p>
    <w:p>
      <w:r>
        <w:rPr>
          <w:b/>
        </w:rPr>
        <w:t>E. 3.3</w:t>
      </w:r>
    </w:p>
    <w:p>
      <w:r>
        <w:t>Nach Art. 41 Abs. 1 aMWSTV verjährt der Anspruch auf Vorsteuerabzug fünf Jahre nach Ablauf des Kalenderjahres, in dem er entstanden ist. Die Verjährung wird unterbrochen durch die Geltendmachung des Anspruchs gegenüber der ESTV (Art. 41 Abs. 2 aMWSTV). Die Verjährung steht still, solange über den geltend gemachten Anspruch ein Entscheid-, Einsprache- oder Rechtsmittelverfahren hängig ist (Art. 41 Abs. 3 aMWSTV; Urteile des Bundesverwaltungsgerichts A-5620/2008 vom 11. November 2009 E. 4.1, A-1402/2006 vom 17. Juli 2007 E. 2.4).</w:t>
      </w:r>
    </w:p>
    <w:p>
      <w:r>
        <w:rPr>
          <w:b/>
        </w:rPr>
        <w:t>E. 4.1</w:t>
      </w:r>
    </w:p>
    <w:p>
      <w:r>
        <w:t>Im vorliegenden Fall ist streitig, ob die ESTV die Rückerstattung der von der Beschwerdeführerin geltend gemachten Einfuhr- und Vorsteuerbeträge betreffend die Jahre 1995 und 1996 in der Höhe von insgesamt Fr. 1'005'487.40 zu Recht verweigert hat. Die ESTV ist der Ansicht, die Beschwerdeführerin habe bereits deshalb keinen Rückerstattungsanspruch, da ein solcher ohnehin bereits verjährt wäre. Die Beschwerdeführerin wendet dagegen zunächst ein, sie habe bei der Vorinstanz nie vollumfängliche Akteneinsicht erhalten, obwohl sie dies mehrmals verlangt habe. Ihr sei insbesondere die Einsicht in die Steuerakten der A._______ verweigert worden. Da der Gehörsanspruch formeller Natur ist (vgl. E. 2.3), ist diese Rüge vorab zu prüfen.</w:t>
      </w:r>
    </w:p>
    <w:p>
      <w:r>
        <w:rPr>
          <w:b/>
        </w:rPr>
        <w:t>E. 4.2.1</w:t>
      </w:r>
    </w:p>
    <w:p>
      <w:r>
        <w:t>Wie dargelegt (E. 1.2.4), war nicht die Nachtragsliquidatorin Partei bereits des vorinstanzlichen Verfahrens, sondern die Beschwerdeführerin selber, und B._______ handelte als Nachtragsliquidatorin lediglich als deren Organ. Entgegen den Ausführungen der ESTV in ihrem Schreiben vom 3. September 2009 war es deshalb nicht nötig, dass die Eidgenössische Finanzverwaltung die ESTV für die Einsicht von B._______ in die Steuerakten der A._______ vom Steuergeheimnis entbindet. Das Steuergeheimnis wird vorliegend gar nicht tangiert, weil es um die Einsicht in die eigenen Steuerakten geht, und damit liegt auch kein Grund für eine Einschränkung der Akteneinsicht vor. Die ESTV muss der Beschwerdeführerin somit Einsicht in sämtliche verfahrensbezogenen Akten gewähren, die geeignet sind, Grundlage des Entscheids betreffend eines allfälligen Rückerstattungsanspruchs zu bilden (E. 2.2).</w:t>
      </w:r>
    </w:p>
    <w:p>
      <w:r>
        <w:rPr>
          <w:b/>
        </w:rPr>
        <w:t>E. 4.2.2</w:t>
      </w:r>
    </w:p>
    <w:p>
      <w:r>
        <w:t>Die ESTV hätte der Beschwerdeführerin die Akteneinsicht insbesondere nicht mit der Begründung verweigert dürfen, die fraglichen Akten seien für den Verfahrensausgang belanglos (E. 2.2). Dies hat die ESTV jedoch getan, indem sie bloss mit Bezug auf die Frage der Verjährung Akteneinsicht gewährte und der Beschwerdeführerin mit Schreiben vom 3. September 2009 dementsprechend nur die - nach Ansicht der ESTV - diesbezüglich relevanten Akten in Kopie zustellte. Gemäss dem betreffenden Aktenverzeichnis (amtl. Akten Nr. 25) enthielten diese Akten indessen keine Unterlagen, die älter waren als das Schreiben des damaligen Vertreters der Beschwerdeführerin an die ESTV vom 22. November 1999 (vgl. E. C). Es müssen jedoch solche ältere Unterlagen bei der ESTV vorhanden sein, da die Beschwerdeführerin vom 1. Januar 1993 bis am 31. Dezember 1997 im Register der Steuerpflichtigen eingetragen war. Insbesondere müssen Abrechnungen der in Frage stehenden Jahre 1995 und 1996 vorliegen. Bei diesen Abrechnungen handelt es sich denn auch klarerweise um verfahrensbezogene Akten, die geeignet sind, Grundlage des Entscheids zu bilden (vgl. E. 2.2). Diese Abrechnungen sind u.a. für die Prüfung der Entstehung eines allfälligen Rückforderungsanspruchs relevant. Dieser Ansicht ist im Übrigen auch die ESTV, führte sie doch in ihrem Entscheid vom 6. April 2009 sinngemäss selber aus, es sei fraglich, ob die Beschwerdeführerin die geltend gemachten Einfuhr- bzw. Vorsteuerguthaben nicht bereits in den Abrechnungen der Jahre 1995 und 1996 deklariert habe (Ziff. 3.7 des Entscheids). Im Übrigen ist es gerade für die Überprüfung einer allfälligen Unterbrechung der Verjährung entscheidend, sämtliche Eingaben vor dem Jahr 1999 zu kennen. Es kann also festgehalten werden, dass die ESTV die Akteneinsicht unzulässigerweise nicht vollumfänglich gewährt hat.</w:t>
      </w:r>
    </w:p>
    <w:p>
      <w:r>
        <w:rPr>
          <w:b/>
        </w:rPr>
        <w:t>E. 4.2.3</w:t>
      </w:r>
    </w:p>
    <w:p>
      <w:r>
        <w:t>Im Weiteren enthalten auch die amtlichen Akten, welche die ESTV mit ihrer Vernehmlassung im vorliegenden Beschwerdeverfahren eingereicht hat, keine älteren Unterlagen als das Schreiben an die ESTV vom 22. November 1999. Damit ist davon auszugehen, dass auch die von der ESTV mit ihrer Vernehmlassung eingereichten Akten unvollständig sind. Aus diesem Grund kann im vorliegenden Beschwerdeverfahren keine Heilung der Verletzung des rechtlichen Gehörs erfolgen, obwohl eine solche vor dem Bundesverwaltungsgerichts grundsätzlich möglich wäre, da es sich um eine Rechtmittelinstanz mit voller Kognition handelt (E. 2.3).</w:t>
      </w:r>
    </w:p>
    <w:p>
      <w:r>
        <w:rPr>
          <w:b/>
        </w:rPr>
        <w:t>E. 4.2.4</w:t>
      </w:r>
    </w:p>
    <w:p>
      <w:r>
        <w:t>Als Folge der Verletzung des Akteneinsichtsrechts ist der Einspracheentscheid der ESTV vom 10. Juni 2011 aufzuheben (E. 2.3). Die Sache ist damit zu neuem Entscheid im Sinn der Erwägungen - mit vorgängiger Gewährung einer vollständigen Akteneinsicht - an die ESTV zurückzuweisen. Es erübrigt sich, auf die weiteren Argumente der Beschwerdeführerin einzugehen.</w:t>
      </w:r>
    </w:p>
    <w:p>
      <w:r>
        <w:rPr>
          <w:b/>
        </w:rPr>
        <w:t>E. 5</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 führenden Partei (Urteil des Bundesverwaltungsgerichts A-7809/2010 vom 5. September 2011 E. 4). Die Beschwerdeführerin gilt damit als obsiegend, weshalb ihr keine Verfahrenskosten aufzuerlegen sind. Der geleistete Kostenvorschuss von Fr. 18'500.-- wird ihr zurückerstattet. Die unterliegende Vorinstanz trägt als Bundesbehörde keine Verfahrenskosten (Art. 63 Abs. 2 VwVG). Die Vorinstanz hat der obsiegenden Beschwerdeführerin eine Parteientschädigung auszurichten (Art. 64 Abs. 1 und 2 VwVG, Art. 7 ff. des Reglements vom 21. Februar 2008 über die Kosten und Entschädigungen vor dem Bundesverwaltungsgericht [VGKE, SR 173.320.2]). Die Parteientschädigung wird in Anwendung von Art. 7 Abs. 1 VGKE auf Fr. 10'000.-- (inkl.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