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A-453/2013 vom 16. September 2013</w:t>
      </w:r>
    </w:p>
    <w:p>
      <w:r>
        <w:t>Bundesverwaltungsgericht, 2013-09-16, DE</w:t>
      </w:r>
    </w:p>
    <w:p>
      <w:r>
        <w:rPr>
          <w:b/>
        </w:rPr>
        <w:t xml:space="preserve">Quelle: </w:t>
      </w:r>
      <w:r>
        <w:t>https://mcp.opencaselaw.ch/entscheid/bvger_A-453_2013</w:t>
      </w:r>
    </w:p>
    <w:p>
      <w:r>
        <w:t>FR: TAF A-453/2013 du 16 septembre 2013</w:t>
      </w:r>
    </w:p>
    <w:p>
      <w:r>
        <w:t>IT: TAF A-453/2013 del 16 settembre 2013</w:t>
      </w:r>
    </w:p>
    <w:p>
      <w:pPr>
        <w:pStyle w:val="Heading2"/>
      </w:pPr>
      <w:r>
        <w:t>Regeste</w:t>
      </w:r>
    </w:p>
    <w:p>
      <w:r>
        <w:t>Vorzugspreise</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Das BAKOM gehört zu den Behörden nach Art. 33 Bst. d VGG und ist eine Vorinstanz des Bundesverwaltungsgerichts. Eine Ausnahme, was das Sachgebiet angeht, ist nicht gegeben (vgl. Art. 32 VGG). Das Bundesverwaltungsgericht ist demnach zur Beurteilung der vorliegenden Beschwerde zuständig.</w:t>
      </w:r>
    </w:p>
    <w:p>
      <w:r>
        <w:rPr>
          <w:b/>
        </w:rPr>
        <w:t>E. 1.2</w:t>
      </w:r>
    </w:p>
    <w:p>
      <w:r>
        <w:t>Das Verfahren vor dem Bundesverwaltungsgericht richtet sich nach dem VwVG, soweit das VGG nichts anderes bestimmt (Art. 37 VGG). Der Beschwerdeführer ist als Adressat der angefochtenen Verfügung zur Beschwerde berechtigt (Art. 48 Abs. 1 VwVG). Auf die frist- und formgerecht eingereichte Beschwerde (Art. 50 und Art. 52 VwVG) ist demnach einzutreten.</w:t>
      </w:r>
    </w:p>
    <w:p>
      <w:r>
        <w:rPr>
          <w:b/>
        </w:rPr>
        <w:t>E. 1.3</w:t>
      </w:r>
    </w:p>
    <w:p>
      <w:r>
        <w:t>Gegenstand des Beschwerdeverfahrens kann nur sein, was Gegen-stand des vorinstanzlichen Verfahrens war oder nach richtiger Gesetzesauslegung hätte sein sollen (Anfechtungsobjekt). Gegenstände, über welche die Vorinstanz nicht entschieden hat, und über die sie nicht zu entscheiden hatte, sind aus Gründen der funktionellen Zuständigkeit durch die zweite Instanz nicht zu beurteilen (Urteile des Bundesgerichts 2C_642/2007 vom 3. März 2008 E. 2.2, 2A.121/2004 vom 16. März 2005 E. 2.1; statt vieler: BVGE 2010/12 E. 1.2.1). Der Streitgegenstand wird zudem durch die Parteianträge definiert und braucht mit dem Anfechtungsobjekt nicht übereinzustimmen. Er darf sich im Laufe des Beschwerdeverfahrens nur verengen, er kann nicht erweitert oder qualitativ verändert werden (Urteil des Bundesgerichts 2A.121/2004 vom 16. März 2005 E. 2.1; Urteil des Bundesverwaltungsgerichts A-607/2012 vom 20. Dezember 2012 E. 1.2). Was Streitgegenstand ist, bestimmt sich nach dem angefochtenen Entscheid und den Parteibegehren (BGE 133 II 35 E. 2; Urteil des Bundesverwaltungsgerichts A-4956/2012 vom 15. Januar 2013 E. 2.2.1). Der Beschwerdeführer beantragt die Aufhebung der Verfügung des BAKOM vom 13. Dezember 2012 und die Zustellermässigung ab dem 1. Januar 2013. Streitgegenstand des vorliegenden Verfahrens ist demnach, ob das BAKOM mit der angefochtenen Verfügung das Gesuch des Beschwerdeführers um Presseförderung ab dem 1. Januar 2013 zu Recht abgewiesen hat.</w:t>
      </w:r>
    </w:p>
    <w:p>
      <w:r>
        <w:rPr>
          <w:b/>
        </w:rPr>
        <w:t>E. 1.4</w:t>
      </w:r>
    </w:p>
    <w:p>
      <w:r>
        <w:t>Im Beschwerdeverfahren vor dem Bundesverwaltungsgericht dürfen im Rahmen des Streitgegenstandes aufgrund des Untersuchungsgrundsatzes bisher noch nicht gewürdigte, bekannte wie auch bis anhin unbekannte, neue Sachverhaltsumstände, die sich zeitlich vor (sog. unechte Nova) oder erst im Laufe des Rechtsmittelverfahrens (sog. echte Nova) zugetragen haben, vorgebracht werden. Gleiches gilt für neue Beweismittel. Das Bundesverwaltungsgericht hat in seinem Entscheid abzuwägen, inwiefern die neuen Tatsachen und Ereignisse geeignet sind, die angefochtene Entscheidung zu beeinflussen (vgl. Urteil des Bundesverwaltungsgerichts B-2613/2012 vom 15. März 2013 E. 1.3.5 mit weiteren Hinweisen). Das Gericht muss sein Urteil denn auch gestützt auf den Sachverhalt fällen, wie er sich im Zeitpunkt seiner Entscheidung verwirklicht hat und bewiesen ist (Urteil des Bundesverwaltungsgerichts A 6299/2009 vom 21. April 2011 E. 3.4; André Moser/Michael Beusch/Lorenz Kneubühler, Prozessieren vor dem Bundesverwaltungsgericht, Basel 2008, Rz. 2.204 ff.).</w:t>
      </w:r>
    </w:p>
    <w:p>
      <w:r>
        <w:rPr>
          <w:b/>
        </w:rPr>
        <w:t>E. 1.5</w:t>
      </w:r>
    </w:p>
    <w:p>
      <w:r>
        <w:t>Das Bundesverwaltungsgericht kann den angefochtenen Entscheid grundsätzlich in vollem Umfang überprüfen. Der Beschwerdeführer kann neben der Verletzung von Bundesrecht (Art. 49 Bst. a VwVG) und der un-richtigen oder unvollständigen Feststellung des rechtserheblichen Sach-verhaltes (Art. 49 Bst. b VwVG) auch die Rüge der Unangemessenheit erheben (Art. 49 Bst. c VwVG; vgl. Moser/Beusch/Kneubühler, a.a.O., Rz. 2.149).</w:t>
      </w:r>
    </w:p>
    <w:p>
      <w:r>
        <w:rPr>
          <w:b/>
        </w:rPr>
        <w:t>E. 2</w:t>
      </w:r>
    </w:p>
    <w:p>
      <w:r>
        <w:t>ihre Spenderinnen und Spender, oder</w:t>
      </w:r>
    </w:p>
    <w:p>
      <w:r>
        <w:rPr>
          <w:b/>
        </w:rPr>
        <w:t>E. 2.1</w:t>
      </w:r>
    </w:p>
    <w:p>
      <w:r>
        <w:t>Die Zustellung von Zeitungen und Zeitschriften durch die Post zu ermässigten Tarifen ist zunächst im PG geregelt. Gemäss Art. 16 Abs. 4 PG werden Ermässigungen gewährt für die Zustellung von abonnierten Tages- und Wochenzeitungen der Regional- und Lokalpresse (Bst. a) sowie für Zeitungen und Zeitschriften von nicht gewinnorientierten Organisationen an ihre Abonnenten, Mitglieder oder Spender (Mitgliedschafts- und Stiftungspresse) in der Tageszustellung (Bst. b). Nach Art. 16 Abs. 5 PG sind von den Ermässigungen Titel ausgeschlossen, die zu einem Kopfblattverbund mit über 100'000 Exemplaren beglaubigter Gesamtauflage gehören. Im Weiteren kann nach dieser Bestimmung der Bundesrat weitere Kriterien vorsehen; solche können insbesondere sein: das Verbreitungsgebiet, die Erscheinungshäufigkeit, der redaktionelle Anteil sowie das Verbot von überwiegender Bewerbung von Produkten und Dienstleistungen.</w:t>
      </w:r>
    </w:p>
    <w:p>
      <w:r>
        <w:rPr>
          <w:b/>
        </w:rPr>
        <w:t>E. 2.2</w:t>
      </w:r>
    </w:p>
    <w:p>
      <w:r>
        <w:t>Von der Kompetenz zur Festlegung weiterer Kriterien für die Gewährung einer Ermässigung bei der Zustellung von Zeitungen und Zeitschriften hat der Bundesrat in Art. 36 VPG Gebrauch gemacht. Gemäss Art. 36 Abs. 3 VPG gelten als Mitgliedschafts- und Stiftungspresse im Sinn von Art. 16 Absatz 4 Buchstabe b PG nur Zeitungen und Zeitschriften, die: a. der Post zur Tageszustellung übergeben werden; b. vorwiegend in der Schweiz verbreitet werden; c. von nicht gewinnorientierten Organisationen versendet werden an: 1. ihre Abonnentinnen und Abonnenten,</w:t>
      </w:r>
    </w:p>
    <w:p>
      <w:r>
        <w:rPr>
          <w:b/>
        </w:rPr>
        <w:t>E. 2.3</w:t>
      </w:r>
    </w:p>
    <w:p>
      <w:r>
        <w:t>Gesuche um Zustellermässigung sind nach Art. 37 Abs. 1 VPG dem BAKOM schriftlich einzureichen. Heisst das BAKOM das Gesuch gut, so hat die Gesuchstellerin oder der Gesuchsteller ab dem ersten Tag des Monats, nach dem das Gesuch eingereicht wurde, Anspruch auf Zustellermässigung (Art. 37 Abs. 2 VPG). Die Anspruchsberechtigten haben dem BAKOM jährlich eine Selbstdeklaration einzureichen (Art. 37 Abs. 3 VPG). Das BAKOM überprüft die Angaben in Form von Stichproben. Wird die Selbstdeklaration trotz Mahnung nicht oder unvollständig eingereicht, so kann die Zustellermässigung ausgesetzt werden (Art. 37 Abs. 4 VPG). Gemäss der Wegleitung zum Ausfüllen des Gesuchs um Presseförderung entscheidet das BAKOM aufgrund der Angaben im Gesuch, ob ein Titel förderungsberechtigt ist oder nicht (Wegleitung des BAKOM, Ziff 1).</w:t>
      </w:r>
    </w:p>
    <w:p>
      <w:r>
        <w:rPr>
          <w:b/>
        </w:rPr>
        <w:t>E. 3</w:t>
      </w:r>
    </w:p>
    <w:p>
      <w:r>
        <w:t>Im vorliegenden Fall gibt der Beschwerdeführer die Zeitschrift "Mamma-Info" heraus. Das BAKOM verweigerte eine Zustellermässigung nach Art. 16 Abs. 4 Bst. b PG, da die Zeitschrift weniger als sechs A4-Seiten umfasse und damit die Voraussetzung von Art. 36 Abs. 3 Bst. l VPG nicht erfülle. Dies wird vom den Beschwerdeführer bestritten. Unbestritten ist dagegen, dass die Zeitschrift die übrigen Voraussetzungen gemäss Art. 36 Abs. 3 VPG erfüllt. Der Beschwerdeführer hat mit seinem Gesuch an das BAKOM vom 2. Oktober 2012 ein Belegexemplar seiner Zeitschrift (Ausgabe Nr. 25, September/Oktober 2012) mit bloss vier A5-Seiten eingereicht. Insoweit hat das BAKOM deshalb in der angefochtenen Verfügung die Erfüllung des Mindestumfangs von sechs A4-Seiten bzw. zwölf A5-Seiten (vgl. E. 2.2) zu Recht verneint. Der Beschwerdeführer hat nun jedoch mit seiner Beschwerde vom 28. Januar 2013 ein Exemplar der Ausgabe Nr. 26 (November/Dezember 2012) seiner Zeitschrift beigelegt, welches sechs A4-Seiten aufweist. Auch die am 15. August 2013 eingereichten Ausgaben Nr. 27 (März/April 2013), Nr. 28 (Mai/Juni 2013) und Nr. 29 (Juli/August 2013) weisen sechs A4-Seiten auf. Er hat damit im vorliegenden Beschwerdeverfahren nachgewiesen, dass seine Zeitschrift den erforderlichen Mindestumfang von sechs A4-Seiten ab Januar 2013 (bzw. bereits ab Dezember 2012) erfüllt. Dies ist als echtes tatsächliches Novum zu berücksichtigen (vgl. E. 1.4). In der Folge weist seine Zeitschrift sämtliche Voraussetzungen von Art. 36 Abs. 3 VPG ab dem 1. Januar 2013 auf. Der Beschwerdeführer hat damit Anspruch auf Zustellermässigung ab dem 1. Januar 2013 und die Beschwerde ist gutzuheissen. Die Verfügung des BAKOM vom 13. Dezember 2012 ist aufzuheben und dem Beschwerdeführer ist die Zustellermässigung für seine Zeitschrift "Mamma-Info" rückwirkend per 1. Januar 2013 zu gewähren.</w:t>
      </w:r>
    </w:p>
    <w:p>
      <w:r>
        <w:rPr>
          <w:b/>
        </w:rPr>
        <w:t>E. 4.1</w:t>
      </w:r>
    </w:p>
    <w:p>
      <w:r>
        <w:t>Die Kosten des Verfahrens vor dem Bundesverwaltungsgericht werden in der Regel der unterliegenden Partei auferlegt (Art. 63 Abs. 1 VwVG i.V.m. Art. 1 ff. des Reglements vom 21. Februar 2008 über die Kosten und Entschädigungen vor dem Bundesverwaltungsgericht [VGKE, SR 173.320.2]). Der Beschwerdeführer gilt vorliegend als obsiegende Partei, weshalb ihm grundsätzlich keine Verfahrenskosten aufzuerlegen wären. Einer obsiegenden Partei dürfen jedoch Verfahrenskosten auferlegt werden, die sie durch Verletzung von Verfahrenspflichten verursacht hat (Art. 63 Abs. 3 VwVG i.V. mit Art. 1 ff. VGKE). Nach der Praxis gilt als unnötigerweise verursacht ein Verfahren insbesondere dann, wenn ein Beschwerdeführer seinen Mitwirkungspflichten nicht nachgekommen ist und er beispielsweise Beweismittel spät eingereicht hat (Urteile des Bundesverwaltungsgerichts A-2654/2009 vom 7. Mai 2013 E. 13, A 1344/2011 vom 26. September 2011 E. 1.6.3, A-1527/2006 und A 1528/2006 vom 6. März 2008 E. 6.2; Marcel Mabillard, in: Bernhard Waldmann/Philippe Weissenberger [Hrsg.], Praxiskommentar zum Bundesgesetz über das Verwaltungsverfahren [Praxiskommentar VwVG], Zürich/Basel/Genf 2009, Art. 63 N 33). Nachfolgend ist demnach zu prüfen, ob der Beschwerdeführer seine Mitwirkungspflichten verletzt hat, indem er erst mit der Beschwerde vom 28. Januar 2013 den Nachweis erbracht hat, dass seine Zeitschrift den erforderlichen Mindestumfang von sechs A4-Seiten ab Januar 2013 erfüllt.</w:t>
      </w:r>
    </w:p>
    <w:p>
      <w:r>
        <w:rPr>
          <w:b/>
        </w:rPr>
        <w:t>E. 4.2.1</w:t>
      </w:r>
    </w:p>
    <w:p>
      <w:r>
        <w:t>Zur Prüfung der Voraussetzungen für die Presseförderung ist die Vorinstanz auf Nachweise über den Mindestumfang angewiesen. Im Verwaltungsverfahren gilt zwar gestützt auf Art. 12 VwVG der Untersuchungsgrundsatz und die Vorinstanz ist demnach grundsätzlich verpflichtet, von Amtes wegen den rechtserheblichen Sachverhalt vollständig und richtig zu ermitteln (Patrick L. Krauskopf/Katrin Emmenegger, in: Praxiskommentar VwVG, a.a.O., Art. 12 N 28). Ihre Untersuchungspflicht bzw. Beweisführungslast wird allerdings durch die in Art. 13 VwVG statuierte Mitwirkungspflicht der Parteien eingeschränkt. Danach haben diese an der Feststellung des Sachverhalts unter anderem dann mitzuwirken, wenn sie, was vorliegend auf den Beschwerdeführer zutrifft, das Verfahren selber eingeleitet haben (Art. 13 Abs. 1 Bst. a VwVG). Dies gilt für sämtliche Arten von Gesuchsverfahren, namentlich auch für das Verfahren betreffend Presseförderung, welches ein Subventionsverfahren ist (Art. 37 Abs. 6 VPG). Die Mitwirkung liegt in diesen Fällen in erster Linie im Interesse der Partei selbst, die ansonsten aufgrund der allgemeinen Beweislastregel die Folgen der Beweislosigkeit zu tragen hätte (Urteil des Bundesverwaltungsgerichts A-6542/2012 vom 22. April 2013 E. 4.1; Krauskopf/Emmenegger, a.a.O., Art. 13 N 10).</w:t>
      </w:r>
    </w:p>
    <w:p>
      <w:r>
        <w:rPr>
          <w:b/>
        </w:rPr>
        <w:t>E. 4.2.2</w:t>
      </w:r>
    </w:p>
    <w:p>
      <w:r>
        <w:t>Das Ausmass der Mitwirkungspflicht richtet sich nach der Zumutbarkeit und der Verhältnismässigkeit. Es wird im Zweifelsfall von der verfahrensleitenden Behörde im Rahmen der Instruktion definiert, z.B. durch die Aufforderung, bestimmte Fragen zu beantworten oder Unterlagen einzureichen (Christoph Auer, in: Auer/Müller/Schindler [Hrsg.], Kommentar zum Bundesgesetz über das Verwaltungsverfahren [VwVG], Zürich 2008, Art. 13 N 6). Dabei muss eine Behörde einem Gesuchsteller nicht detailliert angeben, welche Belege er einzureichen hat, sondern eine allgemein gehaltene Aufforderung genügt (Urteil des Bundesverwaltungsgerichts B 3608/2009 und B-3671/2009 vom 14. Juli 2010 E. 6.1). Die Mitwirkungspflicht gebietet, dass eine Partei die Behörde von sich aus informiert, wenn während eines hängigen Verfahrens eine rechtswesentliche Änderung des Sachverhalts eintritt und die Behörde ohne eine entsprechende Mitteilung keine Kenntnis davon erhalten würde. Die Behörde darf sich darauf verlassen, dass die vormals erteilten Auskünfte bei passivem Verhalten der Partei nach wie vor der Wirklichkeit entsprechen (Auer, a.a.O., Art. 13 N 9; BGE 132 II 113 E. 3.2). Bei Verfahren, die vom Selbstdeklarationsprinzip bestimmt sind, sind die Mitwirkungspflichten noch deutlich erhöht. Die rechtmässige und vollständige Deklaration liegt grundsätzlich vollständig in der Verantwortung der betroffenen Person (vgl. z.B. Urteil des Bundesverwaltungsgerichts A 826/2011 vom 7. Februar 2012 E. 3.1 zum Zollverfahren).</w:t>
      </w:r>
    </w:p>
    <w:p>
      <w:r>
        <w:rPr>
          <w:b/>
        </w:rPr>
        <w:t>E. 4.3.1</w:t>
      </w:r>
    </w:p>
    <w:p>
      <w:r>
        <w:t>Vorliegend hat die Vorinstanz ein Formular für das Gesuch um Presseförderung und eine Wegleitung zum Ausfüllen des Gesuchs zur Verfügung gestellt und darin das Ausmass der Mitwirkungspflicht definiert, indem sie vermerkt hat, dass alle erforderlichen Nachweise (insbesondere ein aktuelles Belegexemplar usw.) dem Gesuch beizulegen sind. Weiter ist dem Formular zu entnehmen, dass allfällige Änderungen bezüglich der Kriterien dem BAKOM innerhalb von 30 Tagen mitzuteilen sind.</w:t>
      </w:r>
    </w:p>
    <w:p>
      <w:r>
        <w:rPr>
          <w:b/>
        </w:rPr>
        <w:t>E. 4.3.2</w:t>
      </w:r>
    </w:p>
    <w:p>
      <w:r>
        <w:t>Der Beschwerdeführer hat im Gesuchsformular (datiert vom 25. September 2012) angegeben, seine Zeitschrift weise sechs A4-Seiten auf. Als Belegexemplar reichte er die Ausgabe Nr. 25 (September/Oktober 2012) mit vier A5-Seiten ein. Im Begleitschreiben zum Gesuch (datiert vom 2. Oktober 2012) führte er zudem aus, er lege ein Exemplar der letzten Ausgabe bei und würde den Umfang der Zeitschrift bereits in der nächsten Ausgabe auf die geforderten sechs A4-Seiten erweitern. Einen Nachweis für diese Behauptung hat er dem BAKOM jedoch nicht eingereicht. Gemäss den Ausführungen des Beschwerdeführers in seiner Beschwerde hatte er im Zeitpunkt der Kenntnisnahme der angefochtenen Verfügung die Layout-Änderung für die Ausgabe Nr. 26 (November/Dezember 2012) mit sechs A4-Seiten bereits in Auftrag gegeben (Beschwerde, Rz. 13). Es wäre ihm demnach ohne Weiteres möglich und zumutbar gewesen, vor dem Erlass der angefochtenen Verfügung vom 13. Dezember 2012 einen - aus der Sicht des Bundesverwaltungsgerichts ausreichenden - Nachweis über die Seitenzahl der Ausgabe Nr. 26, in Form eines definitiven Druckauftrags der Layout-Änderung, einzureichen. In der Folge oblag es auch seiner Mitwirkungspflicht, das entsprechende Beweismittel dem BAKOM vorzulegen. Vor dem Hintergrund, dass es sich vorliegend um ein Verfahren auf Begehren des Gesuchstellers, darüber hinaus um ein Subventionsverfahren handelt und den klaren Angaben über die erforderlichen Nachweise im Gesuchsformular sowie der Wegleitung, war die Vorinstanz nicht verpflichtet, ihn zur Einreichung des entsprechenden Beweismittels zum Nachweis der Mindestseitenzahl vor ihrem Entscheid noch speziell aufzufordern. Dies muss umso mehr auch deshalb gelten, da es sich bei der Prüfung von Presseförderungsgesuchen um Massenverfahren handelt und nach Art. 37 VPG das Selbstdeklarationsprinzip zur Anwendung kommt. Die rechtmässige und vollständige Gesuchseinreichung lag in der Verantwortung des Beschwerdeführers. Im Übrigen sieht Art. 37 Abs. 4 VPG die Möglichkeit einer Mahnung erst im Rahmen von Selbstdeklarationen von bereits Anspruchsberechtigten (denn nur bei diesen kann die Zustellermässigung "ausgesetzt" werden) und nicht beim erstmaligen Gesuch um Presseförderung vor. Indem der Beschwerdeführer erst im vorliegenden Beschwerdeverfahren den Nachweis für die Erfüllung des Mindestumfangs gemäss Art. 36 Abs. 3 Bst. l VPG erbracht hat, hat er seine Mitwirkungspflichten verletzt. Das BAKOM hat im Übrigen nicht ausgeführt, es hätte auch bei Einreichung des Nachweises in Form eines definitiven Druckauftrags der Layout-Änderung das Gesuch um Presseförderung abgewiesen. In der Folge hat der Beschwerdeführer das vorliegende Beschwerdeverfahren aufgrund der Verletzung seiner Mitwirkungspflichten unnötigerweise verursacht.</w:t>
      </w:r>
    </w:p>
    <w:p>
      <w:r>
        <w:rPr>
          <w:b/>
        </w:rPr>
        <w:t>E. 4.4</w:t>
      </w:r>
    </w:p>
    <w:p>
      <w:r>
        <w:t>Daraus ergibt sich, dass es trotz der Gutheissung der Beschwerde gerechtfertigt ist, dem Beschwerdeführer - aufgrund der Verletzung seiner Mitwirkungspflichten - die Verfahrenskosten im Umfang von Fr. 1'000.- aufzuerlegen und mit dem geleisteten Kostenvorschuss in gleicher Höhe zu verrechnen.</w:t>
      </w:r>
    </w:p>
    <w:p>
      <w:r>
        <w:rPr>
          <w:b/>
        </w:rPr>
        <w:t>E. 4.5</w:t>
      </w:r>
    </w:p>
    <w:p>
      <w:r>
        <w:t>Dem Beschwerdeführer ist - ebenfalls aufgrund der Verletzung seiner Mitwirkungspflichten - keine Parteientschädigung zuzusprechen (vgl.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