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A-4440/2021 vom 7. März 2022</w:t>
      </w:r>
    </w:p>
    <w:p>
      <w:r>
        <w:t>Bundesverwaltungsgericht, 2022-03-07, DE</w:t>
      </w:r>
    </w:p>
    <w:p>
      <w:r>
        <w:rPr>
          <w:b/>
        </w:rPr>
        <w:t xml:space="preserve">Quelle: </w:t>
      </w:r>
      <w:r>
        <w:t>https://mcp.opencaselaw.ch/entscheid/bvger_A-4440_2021</w:t>
      </w:r>
    </w:p>
    <w:p>
      <w:r>
        <w:t>FR: TAF A-4440/2021 du 7 mars 2022</w:t>
      </w:r>
    </w:p>
    <w:p>
      <w:r>
        <w:t>IT: TAF A-4440/2021 del 7 marzo 2022</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Beschwerdeführenden haben sich am vorinstanzlichen Verfahren beteiligt und sind mit Blick auf die sie betreffenden, nach der angefochtenen Verfügung an den IRS zu übermittelnden Informationen materiell beschwert. Somit und als Adressaten der angefochtenen Verfügung sind sie zur Beschwerde berechtigt (Art. 19 Abs. 2 StAhiG i.V.m. Art. 48 Abs. 1 VwVG), namentlich auch als nicht formell betroffene Personen, die die gänzliche Nichtübermittlung respektive teilweise Schwärzung sie betreffender Daten verlangt hatten (vgl. BGE 146 I 172 E. 7.2 und 7.3.3; Urteil des BGer 2C_687/2019 vom 13. Juli 2020 E. 6.3). Die Beschwerde wurde frist- und formgerecht eingereicht (Art. 50 Abs. 1 i.V.m. Art. 20 Abs. 3 VwVG; Art. 52 Abs. 1 VwVG) und der eingeforderte Kostenvorschuss fristgerecht bezahlt (Art. 63 Abs. 4 VwVG).</w:t>
      </w:r>
    </w:p>
    <w:p>
      <w:r>
        <w:rPr>
          <w:b/>
        </w:rPr>
        <w:t>E. 1.3</w:t>
      </w:r>
    </w:p>
    <w:p>
      <w:r>
        <w:t>Die Vorinstanz stellt in ihrer Vernehmlassung vom 24. November 2021 den Hauptantrag, es sei auf die Beschwerde nicht einzutreten. Die Beschwerdeführenden rügen in ihrer Replik, die Vorinstanz begründe diesen Antrag nicht. Dies ist korrekt, es ist der Vernehmlassung der Vorinstanz kein Gesichtspunkt zu entnehmen, der gegen ein Eintreten auf die Beschwerde spräche und wie aus vorstehenden Überlegungen erhellt, ist ein solcher auch nicht offensichtlich erkennbar. Auf die Beschwerde ist somit einzutreten.</w:t>
      </w:r>
    </w:p>
    <w:p>
      <w:r>
        <w:rPr>
          <w:b/>
        </w:rPr>
        <w:t>E. 1.4</w:t>
      </w:r>
    </w:p>
    <w:p>
      <w:r>
        <w:t>Die Durchführung des DBA CH-US richtet sich nach dem Steueramtshilfegesetz. Zu beachten sind dabei insbesondere die auf den 1. Januar 2017 in Kraft getretenen Änderungen; diese erfolgten mit dem Bundesbeschluss vom 18. Dezember 2015 über die Genehmigung und die Umsetzung des Übereinkommens des Europarats und der OECD über die gegenseitige Amtshilfe in Steuersachen (SR 0.652.1; nachfolgend: Amtshilfeübereinkommen; vgl. zum Bundesbeschluss AS 2016 5059 ff.). Allenfalls abweichende Bestimmungen des vorliegend anwendbaren DBA CH-US gehen vor (Art. 1 Abs. 2 StAhiG).</w:t>
      </w:r>
    </w:p>
    <w:p>
      <w:r>
        <w:rPr>
          <w:b/>
        </w:rPr>
        <w:t>E. 1.5</w:t>
      </w:r>
    </w:p>
    <w:p>
      <w:r>
        <w:t>Das Beschwerdeverfahren richtet sich nach den Bestimmungen über die Bundesrechtspflege und somit nach dem VwVG, soweit das VGG oder das StAhiG nichts anderes bestimmen (Art. 5 Abs. 1 und Art. 19 StAhiG, Art. 37 VGG).</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 Im Beschwerdeverfahren gilt die Untersuchungsmaxime, wonach der Sachverhalt von Amtes wegen festzustellen ist (vgl. zum Ganzen: Häfelin/Müller/Uhlmann, Allgemeines Verwaltungsrecht, 8. Aufl. 2020, N 1146 ff.; Pierre Tschannen et al., Allgemeines Verwaltungsrecht, 4. Aufl. 2014, § 30 N 23). Weiter gilt der Grundsatz der Rechtsanwendung von Amtes wegen (Art. 62 Abs. 4 VwVG); das Gericht ist an die Begründung der Begehren nicht gebunden und kann die Beschwerde auch aus anderen als den geltend gemachten Gründen gutheissen oder abweisen.</w:t>
      </w:r>
    </w:p>
    <w:p>
      <w:r>
        <w:rPr>
          <w:b/>
        </w:rPr>
        <w:t>E. 2.1</w:t>
      </w:r>
    </w:p>
    <w:p>
      <w:r>
        <w:t>Staatsvertragliche Grundlage für die Leistung von Amtshilfe in Steuersachen gegenüber den USA ist Art. 26 DBA CH-US sowie Ziff. 10 des dazugehörigen Protokolls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Abänderungsprotokoll; vgl. Art. 5 Abs. 2 Bst. b Abänderungsprotokoll, Urteile des BVGer A-5447/2020 vom 6. Oktober 2021 E. 2.2, A-727/2020 vom 12. Januar 2022 E. 3.2 f., je m.w.H.).</w:t>
      </w:r>
    </w:p>
    <w:p>
      <w:r>
        <w:rPr>
          <w:b/>
        </w:rPr>
        <w:t>E. 2.2</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 Auch wenn der Wortlaut von Art. 26 Abs. 1 DBA CH-US («Informationen, die erheblich sein können») leicht von demjenigen von Art. 26 Abs. 1 des OECD-Musterabkommens («Informationen, die voraussichtlich erheblich sind») abweicht, sind diese Bestimmungen übereinstimmend auszulegen (vgl. Urteil des BVGer A-5447/2020 E. 2.3.2 m.H.).</w:t>
      </w:r>
    </w:p>
    <w:p>
      <w:r>
        <w:rPr>
          <w:b/>
        </w:rPr>
        <w:t>E. 2.3</w:t>
      </w:r>
    </w:p>
    <w:p>
      <w:r>
        <w:t>Die vorliegend anwendbare Amtshilfebestimmung steht seit dem 20. September 2019 in Kraft und findet auf Ersuchen, die an oder nach diesem Datum gestellt werden, Anwendung und für die in Art. 26 Abs. 5 beschriebenen Informationen, die sich auf einen Zeitraum beziehen, der mit der Unterzeichnung des Protokolls - dem 23. September 2009 - beginnt (Art. 5 Abs. 2 Bst. b Ingress und Ziff. i Abänderungsprotokoll). Die Amtshilfeverpflichtung ist dabei nicht auf erst nach dem Datum des Inkrafttretens der Amtshilfebestimmung eines Abkommens eingetretene Tatsachen beschränkt. Namentlich Kontoeröffnungsunterlagen, sonstige Vereinbarungen und «Know your costumer»-Dokumente, welche das Verhältnis zwischen einer Bank und dem Kunden während dessen Dauer regeln bzw. betreffen, sind deshalb - bei Erfüllung der weiteren Voraussetzungen und fortbestehendem Verhältnis - auch dann zu übermitteln, wenn sie vor dem Inkrafttreten der anwendbaren Amtshilfeklausel erstellt wurden. Dabei sind jedoch diejenigen Stellen zu schwärzen, deren Erheblichkeit für die Steuerjahre im zeitlichen Anwendungsbereich der Amtshilfeklausel unwahrscheinlich sind (vgl. Urteile des BVGer A-4192/2020, A-4194/2020 und A-4196/2020 vom 25. März 2021 E. 2.1.2, A-778/2017 vom 5. Juli 2017 E. 9.2.1, je m.w.H.).</w:t>
      </w:r>
    </w:p>
    <w:p>
      <w:r>
        <w:rPr>
          <w:b/>
        </w:rPr>
        <w:t>E. 2.4.1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Urteil des BVGer A-4192/2020, A-4194/2020, A-4196/2020 vom 25. März 2021 E. 2.3.1 m.w.H.).</w:t>
      </w:r>
    </w:p>
    <w:p>
      <w:r>
        <w:rPr>
          <w:b/>
        </w:rPr>
        <w:t>E. 2.4.2</w:t>
      </w:r>
    </w:p>
    <w:p>
      <w:r>
        <w:t>Ziff. 10 Bst. b des Protokolls hält dementsprechend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10 Bst. a des Protokolls sieht zwar wichtige verfahrenstechnische Voraussetzungen für die Vermeidung von «fishing expeditions» vor; seine Unterabsätze i) bis v) sind jedoch nicht so auszulegen, dass sie einen wirksamen Informationsaustausch behindern.</w:t>
      </w:r>
    </w:p>
    <w:p>
      <w:r>
        <w:rPr>
          <w:b/>
        </w:rPr>
        <w:t>E. 2.4.3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BGE 144 II 29 E. 4.2.2, 142 II 161 E. 2.1.1, je m.w.H.; Urteil des BVGer A-4192/2020 vom 25. März 2021 E. 2.3.4).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BGE 143 II 185 E. 3.3.2, 141 II 436 E. 4.4.3 mit weiteren Hinweisen; Urteil des BVGer A-4192/2020 vom 25. März 2021 E. 2.3.4; vgl. zum Kriterium der voraussichtlichen Erheblichkeit auch Art. 26 Abs. 1 des Musterabkommens der Organisation für wirtschaftliche Zusammenarbeit und Entwicklung zur Vermeidung der Doppelbesteuerung von Einkommen und Vermögen [nachfolgend: OECD-MA]). In letzterem Sinne ist auch Art. 17 Abs. 2 StAhiG zu verstehen, wonach Informationen, welche voraussichtlich nicht erheblich sind, nicht übermittelt werden dürfen (Urteil des BVGer A-2175/2021 vom 22. September 2021 E. 2.2.1; vgl. auch Art. 4 Abs. 3 StAhiG). Keine Rolle spielt dagegen, wenn sich nach der Beschaffung der Informationen herausstellt, dass diese nicht relevant sind (BGE 143 II 185 E. 3.3.2 m.w.H.).</w:t>
      </w:r>
    </w:p>
    <w:p>
      <w:r>
        <w:rPr>
          <w:b/>
        </w:rPr>
        <w:t>E. 2.4.4</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Urteil des BVGer A-843/2021 vom 9. Dezember 2021 E. 2.4.2).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(Urteil des BVGer A-3810/2020 vom 16. März 2021 E. 2.4 m.w.H.).</w:t>
      </w:r>
    </w:p>
    <w:p>
      <w:r>
        <w:rPr>
          <w:b/>
        </w:rPr>
        <w:t>E. 2.4.5</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142 II 161 E. 4.6.1; Urteile des BGer 2C_67/2021 vom 28. Januar 2021 E. 3.1, 2C_387/2016 vom 5. März 2018 E. 5.1; zum Ganzen statt vieler: Urteil des BVGer A-2177/2021 vom 22. September 2021 E. 3.3.4). Das Bundesgericht hat insbesondere die Namen von an Banktransaktionen beteiligten Dritten, da sie geeignet waren, den Wohnsitz des Steuerpflichtigen zu ermitteln, als voraussichtlich erheblich qualifiziert und somit deren Ermittlung zugelassen (BGE 142 II 161 E. 4.6.2; vgl. auch Urteil des BGer 2C_545/2019 vom 13. Juli 2020 E. 4.3). Dasselbe hat das Bundesgericht bezüglich der Namen von an einem Bankkonto einer Gesellschaft wirtschaftlich Berechtigten entschieden, wenn ein genügend enger Zusammenhang zum Steuersachverhalt besteht und davon auszugehen ist, dass dessen Identität geeignet ist, Letzteren weiter zu erhellen (Urteil des BGer 2C_545/2019 vom 13. Juli 2020 E. 4.4; vgl. auch Urteil des BGer 2C_387/2016 vom 5. März 2018 E. 5.2 f., wobei das Bundesgericht im Sinne eines Spezialfalls nur die Namen der wirtschaftlich Berechtigten mit demselben Familiennamen wie der Steuerpflichtige als voraussichtlich erheblich qualifizierte).</w:t>
      </w:r>
    </w:p>
    <w:p>
      <w:r>
        <w:rPr>
          <w:b/>
        </w:rPr>
        <w:t>E. 2.5</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je mit weiteren Hinweisen; Urteil des BVGer A-2175/2021 vom 22. September E. 2.3). Auf diesem Vertrauen gründet letztlich das ganze Amtshilfeverfahren. Dementsprechend ist die ESTV an die Darstellung des Sachverhalts im Ersuchen insoweit gebunden, als diese nicht wegen offensichtlicher Fehler, Lücken oder Widersprüche sofort entkräftet werden kann (vgl. BGE 139 II 451 E. 2.2.1; Urteile des BVGer A-2175/2021 vom 22. September E. 2.3, A-674/2020 vom 24. August 2021 E. 3.9). Gleiches gilt für die vom ersuchenden Staat abgegebenen Erklärungen. Werden diese sofort entkräftet, kann der ersuchte Staat ihnen nicht mehr vertrauen (vgl. Urteil des BVGer A-674/2020 vom 24. August 2021 E. 3.9). Folglich ist die Wahrung des Grundsatzes erst bei konkreten Anhaltspunkten auf eine zweckwidrige Verwendung im ersuchenden Staat zu überprüfen (vgl. BGE 128 II 407 E. 3.2; Urteil des BGer 2C_653/2018 vom 26. Juli 2019 E. 7.3; Urteil des BVGer A-5034/2020 vom 7. Mai 2021 E. 2.4.1). Es liegt dabei an der betroffenen Person, den Sachverhalt mittels Urkunden klarerweise und entscheidend zu widerlegen (vgl. BGE 139 II 451 E. 2.3.3; Urteile des BVGer A-674/2020 vom 24. August 2021 E. 3.9, A-5034/2020 vom 7. Mai 2021 E. 2.4.1).</w:t>
      </w:r>
    </w:p>
    <w:p>
      <w:r>
        <w:rPr>
          <w:b/>
        </w:rPr>
        <w:t>E. 2.6.1</w:t>
      </w:r>
    </w:p>
    <w:p>
      <w:r>
        <w:t>Nach ständiger Praxis des Bundesverwaltungsgerichts bedeutet das Spezialitätsprinzip (vgl. Art. 26 Abs. 2 DBA CH-US),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A-5046/2018 vom 22. Mai 2019 E. 2.5). Die in den Unterlagen erwähnten Personen sind damit durch das Spezialitätsprinzip geschützt, welches auch eine persönliche Dimension aufweist (BGE 147 II 13 E. 3.4.3 und 3.5, 146 I 172 E. 7.1.3).</w:t>
      </w:r>
    </w:p>
    <w:p>
      <w:r>
        <w:rPr>
          <w:b/>
        </w:rPr>
        <w:t>E. 2.6.2</w:t>
      </w:r>
    </w:p>
    <w:p>
      <w:r>
        <w:t>Das völkerrechtliche Vertrauensprinzip (oben E. 2.5)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Urteil des BGer 2C_653/2018 vom 26. Juli 2019 E. 7.3; BVGE 2018 III/1 E. 2.9.1; zum Ganzen: Urteil des BVGer A-2177/2021 vom 22. September 2021 E. 3.5.2).</w:t>
      </w:r>
    </w:p>
    <w:p>
      <w:r>
        <w:rPr>
          <w:b/>
        </w:rPr>
        <w:t>E. 2.7.1</w:t>
      </w:r>
    </w:p>
    <w:p>
      <w:r>
        <w:t>Nach dem vorliegend landesrechtlich geregelten Subsidiaritätsprinzip (Art. 6 Abs. 2 Bst. g StAhiG; vgl. statt vieler: Urteil des BVGer A-2725/2019 vom 25. Februar 2020 E. 2.6.1 mit Hinweisen) hat der ersuchende Vertragsstaat mit dem Ersuchen zu bestätigen, dass er zur Beschaffung der Informationen alle in seinem innerstaatlichen Steuerverfahren vorgesehenen üblichen Mittel ausgeschöpft hat. sofern dies nicht mit unverhältnismässigen Schwierigkeiten verbunden ist.</w:t>
      </w:r>
    </w:p>
    <w:p>
      <w:r>
        <w:rPr>
          <w:b/>
        </w:rPr>
        <w:t>E. 2.7.2</w:t>
      </w:r>
    </w:p>
    <w:p>
      <w:r>
        <w:t>Aufgrund des völkerrechtlichen Vertrauensprinzips (vgl. oben E. 2.5) besteht rechtsprechungsgemäss kein Anlass, an einer von der ersuchenden Behörde abgegebenen Erklärung der Ausschöpfung aller üblichen innerstaatlichen Mittel zu zweifeln, es sei denn, es liege ein gegen die Einhaltung des Subsidiaritätsprinzips sprechendes sowie ein ernsthafte Zweifel an der Richtigkeit der Erklärung begründendes konkretes Element vor (vgl. BGE 144 II 206 E. 3.3.2; Urteile des BVGer A-2175/2021 vom 22. September 2021 E. 2.5.2, A-5034/2020 vom 7. Mai 2021 E. 2.5.2).</w:t>
      </w:r>
    </w:p>
    <w:p>
      <w:r>
        <w:rPr>
          <w:b/>
        </w:rPr>
        <w:t>E. 3</w:t>
      </w:r>
    </w:p>
    <w:p>
      <w:r>
        <w:t>Umstritten ist vorliegend die Frage nach der voraussichtlichen Erheblichkeit der Informationen, um deren amtshilfeweise Übermittlung ersucht wird.</w:t>
      </w:r>
    </w:p>
    <w:p>
      <w:r>
        <w:rPr>
          <w:b/>
        </w:rPr>
        <w:t>E. 3.1</w:t>
      </w:r>
    </w:p>
    <w:p>
      <w:r>
        <w:t>Die Vorinstanz hält in der angefochtenen Verfügung fest, eine Auseinandersetzung über einen Rückgabeanspruch der Vermögenswerte von den Beschwerdeführenden an die betroffene Person sei nicht Gegenstand des Amtshilfeverfahrens. Relevant sei einzig die Selbstanzeige im Rahmen der OVDI. Eine solche hätte die betroffene Person angesichts derer negativen Folgen mutmasslich nicht erstattet, wenn diese nicht zumindest von einem Anspruch an diesen Vermögenswerten ausginge. Die tatsächliche Ausgestaltung der Schenkung (ob Scheinschenkung oder bedingungslose Schenkung) könne offen bleiben. Aufgrund der Selbstanzeige gehe die ersuchende Behörde zu Recht davon aus, dass die formell der Mutter der Beschwerdeführenden übertragenen Vermögenswerte noch der betroffenen Person zuzurechnen seien. Zu deren korrekter Besteuerung sei - gerade weil diese selbst nicht an die Unterlagen gelangen könne - das gestellte Amtshilfeersuchen geradezu unumgänglich; die korrekte Besteuerung sei ansonsten unmöglich, die voraussichtliche Erheblichkeit in Bezug auf die zu übermittelnden Unterlagen entsprechend zu bejahen. Der ersuchte, als nicht nachvollziehbar gerügte, Zeitraum erkläre sich anhand des Ersuchens wie folgt: Die Steuerprüfung des IRS beschlage «the calendar year tax periods ended December 31, 2007, through December 31, 2013», die ersuchte Informationsperiode beginne erst am 23. September 2009, da der Informationsaustausch erst ab diesem Datum möglich sei. Betreffend den Umfang der zu übermittelnden Informationen hält die Vorinstanz unter Verweis auf die allgemeinen Bestimmungen fest, in der Regel könne nur der ersuchende Staat feststellen, ob eine Information erheblich sei; dem ersuchten Staat stehe nur eine Plausibilitätskontrolle zu. Es liege nicht an ihm, ein Ersuchen oder die Übermittlung von Auskünften zu verweigern, weil er, der ersuchte Staat, der Meinung sei, es fehle an der Erheblichkeit der Anfrage oder der zugrundeliegenden Überprüfung. Folglich habe er nicht zu entscheiden, ob der im Amtshilfeersuchen dargestellte Sachverhalt der Realität entspreche, sondern lediglich, ob die ersuchten Informationen einen Bezug zum Sachverhalt haben. Sie, die ESTV, als ersuchte Behörde habe einzig zu klären, ob der Verdacht auf die Begehung eines amtshilfefähigen Delikts begründet sei, wobei sie sich grundsätzlich an die Darstellung des Ersuchens zu halten habe, und, ob die ersuchten Unterlagen geeignet seien, den im Ersuchen geäusserten Verdacht zu beweisen. Sei die Schwelle zur berechtigten Annahme eines Tatverdachts erreicht, so könne die Amtshilfe nur verweigert werden, wenn dieser mittels Urkunden klarerweise und entscheidend entkräftet würde. Vorliegend sei kaum zu bestreiten, dass die verlangten Informationen und Dokumente einen Zusammenhang mit dem im Ersuchen dargestellten Sachverhalt hätten und geeignet seien, im ausländischen Verfahren verwendet zu werden. Insbesondere wiesen auch die Kontoeröffnungsunterlagen mit Informationen zu E._______ einen Zusammenhang zum Sachverhalt auf. Und seien nur schon aus Verifikationsgründen an die ersuchende Behörde zu übermitteln.</w:t>
      </w:r>
    </w:p>
    <w:p>
      <w:r>
        <w:rPr>
          <w:b/>
        </w:rPr>
        <w:t>E. 3.2</w:t>
      </w:r>
    </w:p>
    <w:p>
      <w:r>
        <w:t>Die Beschwerdeführenden bringen in ihrer Beschwerdeschrift zum Sachverhalt ergänzend vor, in einem ersten Kontakt mit der betroffenen Person nach dem Tod der Mutter habe erstere die Schenkung bekräftigt und man habe im August 2015 die Erbteilung vorgenommen. Erst später habe sie sich eines anderen besonnen und die Vermögenswerte zurückgefordert. Diesbezüglich sei inzwischen ein Forderungsprozess hängig. In Beschwerdeschrift und Replik führen die Beschwerdeführenden sodann zusammengefasst aus, was folgt: Die Konten, zu denen Unterlagen verlangt würden, lauteten unstrittig auf den Namen von E._______ und nicht auf die betroffene Person, D._______. Diesem sei keine Vollmacht zugestanden und er sei auch nicht als wirtschaftlich Berechtigter ausgewiesen. Die voraussichtliche Erheblichkeit könne nur bejaht werden, wenn diese Vermögenswerte (und deren Erträge) der betroffenen Person zuzurechnen seien, wofür in den Bankunterlagen keine Anhaltspunkte bestünden. Folglich stütze die Vorinstanz die voraussichtliche Erheblichkeit auf die Sachverhaltsschilderung der ersuchenden Behörde und insbesondere den Umstand der Selbstanzeige im Rahmen der OVDI ab, die die betroffene Person wohl nicht auf sich genommen hätte, wenn ihr die Werte nicht zustünden. Dem sei aber zu erwidern, dass der IRS die OVDI bereits 2009 lanciert habe, eben als die fragliche Schenkung erfolgt sei. Die Selbstanzeige solle der betroffenen Person helfen, die übertragenen Vermögenswerte - unter Inkaufnahme der Steuernachzahlung - zurückzuholen. Indem sich die Vorinstanz die Argumentation der betroffenen Person zu eigen mache, stelle sie den rechtserheblichen Sacherhalt unrichtig und unvollständig fest und überschreite ihr Ermessen. Sie sympathisiere mit deren Argumentation, was an ihrer Unabhängigkeit und Unvoreingenommenheit zweifeln lasse. Die Frage des Rückgabeanspruchs sei eine unumgängliche Vorfrage für das vorliegende Verfahren, bezüglich welcher ein Zivilprozess hängig sei. Im Falle der Klageabweisung stünde rechtskräftig fest, dass die Beschwerdeführenden berechtigte Inhaber dieser Vermögenswerte seien und die voraussichtliche Erheblichkeit klar zu verneinen sei. Das Verfahren wäre zu sistieren gewesen. Die fehlende Auseinandersetzung mit der zivilrechtlichen Lage sei eine Bundesrechtsverletzung. Zumal die Vermögenswerte nur unwahrscheinlicherweise der betroffenen Person zuzurechnen sein dürften, sei die voraussichtliche Erheblichkeit zu verneinen. Zum Eventualantrag begründen die Beschwerdeführenden, es handle sich bei den eigenen Personendaten und jenen ihrer Mutter um Informationen über dritte Personen, die nur bei voraussichtlicher Relevanz zu übermitteln seien. Sie, die Beschwerdeführenden, und ihre Mutter seien keine betroffenen Personen im Sinne des DBA CH-US. Die Schenkung ergebe sich zwar aus den Kontoeröffnungsunterlagen, doch handle es sich bei der Schenkungssteuer um eine nicht unter das Abkommen fallende Steuer. Für die Beurteilung der Einkommenssteuer der hier betroffenen Person sei einzig relevant, ob die aus den Auszügen ersichtlichen Zuflüsse der US-Einkommenssteuer unterlägen. Die Personendaten der Kontoinhaber seien dafür nicht relevant. Angesichts des tiefen Datenschutzniveaus der USA und des Schutzes der Personendaten durch das verfassungsmässige Recht des Schutzes der Privatsphäre sei die Datenherausgabe unverhältnismässig.</w:t>
      </w:r>
    </w:p>
    <w:p>
      <w:r>
        <w:rPr>
          <w:b/>
        </w:rPr>
        <w:t>E. 3.3</w:t>
      </w:r>
    </w:p>
    <w:p>
      <w:r>
        <w:t>In ihrer Stellungnahme vom 24. November 2021 führt die Vorinstanz aus, sie sei an den Sachverhalt der ersuchenden Behörde aufgrund des völkerrechtlichen Vertrauensprinzips grundsätzlich gebunden. Die vorliegende Sachverhaltsdarstellung weise keine offensichtlichen Fehler, Lücken oder Widersprüche auf, die eine Ausnahme zuliessen. Insbesondere werde gerade nicht bestritten, dass es einen Disput über die Berechtigung an den fraglichen Werten gebe. Sie, die Vorinstanz, mache sich die Position oder Argumentation der betroffenen Person nicht zu eigen und sympathisiere auch nicht damit. Die These einer «Scheinschenkung» - dass sich die betroffene Person auf dem Papier der Werte entledigt hätte, um sich der US-Steuerpflicht zu entziehen und das Vermögen durch die Schwester verwalten zu lassen - und damit einer versteckten wirtschaftlichen Berechtigung sei durchaus im Rahmen des Möglichen. Der Ausgang des hängigen Zivilverfahrens sei für das Amtshilfeverfahren nicht relevant. Selbst ein vollständiger Prozessverlust der betroffenen Person schliesse nicht aus, dass die ersuchende Behörde an einer Besteuerung der Werte in der fraglichen Periode festhalte - diese entscheide unabhängig davon, wem zivilrechtlich die Werte heute zuzuschreiben seien. Gleichzeitig habe der Ausgang des US-Steuerverfahrens keinen Einfluss auf das Zivilverfahren in der Schweiz. Die voraussichtliche Erheblichkeit sei im Sinne der angefochtenen Verfügung zu bejahen. Der Argumentation zum Eventualbegehren hält die Vorinstanz entgegen, dass die Namen von Kontoinhabern, Unterschrifts- und wirtschaftlich Berechtigten - anders als die von den Beschwerdeführenden zitierten Bankangestellten - keineswegs zufällig in den Unterlagen erscheinen und ihre Personendaten folglich voraussichtlich erheblich seien. Diese seien auch Teil der explizit erbetenen Kontoeröffnungsunterlagen. Sie, die Vorinstanz, dürfe die verlangten Informationen nur von der Amtshilfe ausschliessen, wenn sie für das ausländische Verfahren mit Sicherheit nicht erheblich seien. Sobald sie einen Zusammenhang mit dem dargestellten Sachverhalt hätten und möglicherweise zur Verwendung im ausländischen Verfahren geeignet seien, sei die voraussichtliche Erheblichkeit zu bejahen. Die Erforderlichkeit sei vorliegend geradezu offensichtlich.</w:t>
      </w:r>
    </w:p>
    <w:p>
      <w:r>
        <w:rPr>
          <w:b/>
        </w:rPr>
        <w:t>E. 4.1</w:t>
      </w:r>
    </w:p>
    <w:p>
      <w:r>
        <w:t>Es ist daran zu erinnern, dass die Übermittlung von Informationen im Rahmen der internationalen Steueramtshilfe dann unzulässig ist, wenn diese für die Beurteilung der Steuersituation der formell betroffenen Person - also von D._______ - nicht voraussichtlich relevant sind oder wenn berechtigte Interessen von nicht betroffenen Personen das Interesse der ersuchenden Behörde an der Übermittlung der Informationen überwiegen (vorne, E. 2.4.5). Die ersuchende Behörde legte im Amtshilfeersuchen dar, aufgrund einer Selbstanzeige der betroffenen Person - D._______ - bestehe der Verdacht, dass dieser im Jahr 2009 zum Zweck der Steuerverschleierung die hier gegenständlichen Vermögenswerte an seine keinen Bezug zu den USA aufweisende, in der Schweiz domizilierte Schwester zum Schein verschenkt habe. Diese - die Mutter der Beschwerdeführenden und nachmalige Erblasserin - habe formell die alleinige Berechtigung an diesen Werten gehabt, tatsächlich aber sei die betroffene Person wirtschaftlich an diesen berechtigt verblieben. Es ist im Sinne einer Plausibilitätskontrolle zu überprüfen, ob die verlangten Informationen und Dokumente mit dem im Ersuchen dargestellten Sachverhalt zusammenhängen und ob sie möglicherweise dazu geeignet sind, im ausländischen Verfahren verwendet zu werden (E. 2.4.3). Dabei ist daran zu erinnern, dass gestützt auf das völkerrechtliche Vertrauensprinzip prinzipiell kein Anlass besteht, an der Darstellung und den Erklärungen der ersuchenden Behörde zu zweifeln (eingehend E. 2.5).</w:t>
      </w:r>
    </w:p>
    <w:p>
      <w:r>
        <w:rPr>
          <w:b/>
        </w:rPr>
        <w:t>E. 4.2</w:t>
      </w:r>
    </w:p>
    <w:p>
      <w:r>
        <w:t>Grundsätzlich sind Informationen zu Bankkonten gemäss ständiger Rechtsprechung des Bundesgerichts geeignet, zur korrekten Besteuerung der wirtschaftlich berechtigten Person beizutragen (BGE 147 II 116 E. 5.4.2 ff., 141 II 436 E. 4.6 und 6.1.1 [vgl. Urteil des BGer 2C_963/2014 vom 24. September 2015]; Urteile des BGer 2C_232/2020 vom 19. Januar 2021 E. 3.3 und 2C_28/2017 vom 16. April 2018 E. 4.5 m.w.H.; Urteile des BVGer A-5447/2020 vom 6. Oktober 2021 E. 3.2.1, A-7263/2018 vom 10. September 2020 E. 8.2 und 8.4 m.w.H.). Ein entsprechendes Amtshilfeersuchen kann namentlich darauf abzielen, die Steuerbemessungsgrundlage im ersuchenden Staat zu vervollständigen, wenn der ersuchende Staat diese Person verdächtigt, nicht ihr gesamtes steuerpflichtiges Einkommen oder Vermögen deklariert zu haben (Urteil des BGer 2C_232/2020 vom 19. Januar 2021 E. 3.3).</w:t>
      </w:r>
    </w:p>
    <w:p>
      <w:r>
        <w:rPr>
          <w:b/>
        </w:rPr>
        <w:t>E. 4.3</w:t>
      </w:r>
    </w:p>
    <w:p>
      <w:r>
        <w:t>Dies trifft im vorliegenden Fall zu. Die ersuchende Behörde hegt gestützt auf die Erklärungen in der Selbstanzeige mit gutem Grund den Verdacht, diese sei in der fraglichen Zeitspanne die wirtschaftlich berechtigte Person an den formell verschenkten Vermögenswerten gewesen. Es versteht sich bei dieser Ausgangslage, dass es sich um Informationen zu Vermögenswerten handelt, die formell nicht der betroffenen Person gehören. Angesichts der Sachverhaltsschilderung im Rahmen der Selbstanzeige, des unbestrittenen verwandtschaftlichen Verhältnisses und der ebenfalls nicht bestrittenen Schenkung handelt es sich bei der verstorbenen Mutter der Beschwerdeführenden nicht um eine Person, die im vorstehend (E. 2.4.5) geschilderten Sinne mit dem Sachverhalt nichts zu tun hätte. Informationen über die Mutter, und vorliegend insbesondere auch die im Ersuchen eingegrenzten Bankdaten, erscheinen damit als voraussichtlich erheblich (vgl. die Beispiele bei E. 2.4.5).</w:t>
      </w:r>
    </w:p>
    <w:p>
      <w:r>
        <w:rPr>
          <w:b/>
        </w:rPr>
        <w:t>E. 4.4</w:t>
      </w:r>
    </w:p>
    <w:p>
      <w:r>
        <w:t>Dem steht nicht entgegen, dass die zivilrechtliche Berechtigung an den fraglichen Werten umstritten ist und der gerichtlichen Klärung harrt. Die ESTV als ersuchte Behörde kann die Auskünfte nur dann verweigern, wenn der Zusammenhang zwischen den verlangten Angaben und der im ersuchenden Staat hängigen Untersuchung geradezu unwahrscheinlich ist. Massgeblich ist, ob im Zeitpunkt der Gesuchstellung eine vernünftige Möglichkeit besteht, dass sich die fraglichen Informationen als erheblich erweisen werden. Dass sie sich nachträglich als unerheblich herausstellen (können), ist irrelevant (vorne, E. 2.4.3 f.). Mit der Vorinstanz kann zudem festgehalten werden, dass die Frage nach der wirtschaftlichen Berechtigung in der fraglichen Untersuchungsperiode nicht zwingend mit der zivilrechtlichen Berechtigung im dannzumaligen Urteilszeitpunkt zusammenhängt. Das gilt umso mehr, als die Gesetzmässigkeiten eines zivilen Forderungsprozesses (Verhandlungsmaxime, Beweislast und -mass) erhebliche Prozessrisiken auf Klägerseite mit sich bringen. Damit schliesst auch ein vollständiger Prozessverlust der betroffenen Person nicht aus, dass für die Jahre 2009 bis 2013 aus US-einkommenssteuerrechtlicher Sicht die wirtschaftliche Berechtigung der betroffenen Person zu bejahen ist.</w:t>
      </w:r>
    </w:p>
    <w:p>
      <w:r>
        <w:rPr>
          <w:b/>
        </w:rPr>
        <w:t>E. 4.5</w:t>
      </w:r>
    </w:p>
    <w:p>
      <w:r>
        <w:t>Insofern geht auch der Einwand der Beschwerdeführenden, die Frage der zivilrechtlichen Berechtigung sei eine Vorfrage, deren Beantwortung zwingend abzuwarten gewesen wäre, fehl (vgl. dazu Häfelin/Müller/Uhlmann, Allgemeines Verwaltungsrecht, Rz. 1744). Die Frage nach der voraussichtlichen Erheblichkeit, welche die Vorinstanz zu beantworten hatte, setzt die Klärung der heutigen zivilrechtlichen Berechtigung gerade nicht voraus. Offenbleiben kann deshalb auch die von den Beschwerdeführenden in den Raum gestellte Möglichkeit, ob die Selbstanzeige ein prozesstaktisches Manöver darstellt - die Motivation der betroffenen Person für die Selbstanzeige ist für die ersuchte Behörde ohne Relevanz.</w:t>
      </w:r>
    </w:p>
    <w:p>
      <w:r>
        <w:rPr>
          <w:b/>
        </w:rPr>
        <w:t>E. 4.6</w:t>
      </w:r>
    </w:p>
    <w:p>
      <w:r>
        <w:t>Die voraussichtliche Erheblichkeit der ersuchten Informationen und Dokumente ist damit zu bejahen. Im Zusammenhang mit dem hängigen Zivilprozess deuten die Beschwerdeführenden an, das Amtshilfeverfahren hätte sistiert werden müssen, bis über die Zivilklage entschieden sei. Formell beantragt wird eine Sistierung indes auf Beschwerdeebene nicht. Rein der Vollständigkeit halber sei deshalb darauf hingewiesen, dass Verfahrenssistierungen im Bereich der Steueramtshilfe das gesetzliche verankerte Beschleunigungsgebot (Art. 4 Abs. 2 StAhiG) tangieren und den völkerrechtlichen Verpflichtungen der Schweiz zu einem wirksamen Informationsaustausch zuwider laufen, welche die Schweiz seit der Übernahme des internationalen Standards von Art. 26 des OECD-MA gegenüber ihren Vertragspartnern eingegangen ist (vgl. im Verhältnis zu den USA Art. 26 Abs. 1 DBA CH-US). Sie sind nur äusserst restriktiv anzuordnen und generell zu vermeiden, wenn sie eine substantielle Verzögerung zur Folge haben (Urteil des BGer 2C_804/2019 vom 21. April 2020 E. 3.4). Davon abgesehen, dass ein Abwarten des Zivilprozesses - wie soeben dargelegt - für die Beurteilung des Amtshilfegesuches nicht notwendig ist, wäre die zu erwartende Verzögerung im Verfahren der Steueramtshilfe nicht gerechtfertigt.</w:t>
      </w:r>
    </w:p>
    <w:p>
      <w:r>
        <w:rPr>
          <w:b/>
        </w:rPr>
        <w:t>E. 4.7</w:t>
      </w:r>
    </w:p>
    <w:p>
      <w:r>
        <w:t>Die amtshilfeweise Besorgung der Informationen und Dokumente zu den entsprechenden Konten ist angesichts dessen, dass die betroffene Person formell keine Rechte gegenüber den Banken geltend machen kann, bei denen diese Werte liegen, faktisch der einzige Weg, an die Informationen zur möglichen Vervollständigung der Steuerbemessungsgrundlagen zu kommen. Dies unterstreicht einerseits die voraussichtliche Erheblichkeit der angeforderten Informationen und Dokumente und belegt anderseits die Einhaltung des Subsidiaritätsprinzips (vorne, E. 2.7).</w:t>
      </w:r>
    </w:p>
    <w:p>
      <w:r>
        <w:rPr>
          <w:b/>
        </w:rPr>
        <w:t>E. 4.8</w:t>
      </w:r>
    </w:p>
    <w:p>
      <w:r>
        <w:t>In ihrem Eventualantrag ersuchen die Beschwerdeführenden darum, dass nur die eigentlichen Finanzinformationen, nicht aber die Personendaten der Kontoinhaberin, zu übermitteln seien. Wie bereits ausgeführt (E. 4.3, vgl. E. 2.4.5) handelt es sich bei der verstorbenen Mutter der Beschwerdeführenden nicht um eine Person, die - vergleichbar einem Bankangestellten - rein zufällig in die Akten geraten wäre. Im Gegenteil ist die Person der Mutter gemäss der Sachverhaltsdarstellung, die dem Ersuchen zugrunde liegt, eine zentrale Figur: Für die Überprüfung der These, dass eine Scheinschenkung mit Verbleib der faktischen Verfügungsmacht beim Schenker als weiterhin wirtschaftlich Berechtigtem vorliegen könnte, ist die Person der beschenkten Kontoinhaberin und sind die im Zuge der Kontoeröffnung und -Führung von den Beteiligten getätigten Erklärungen von zentraler Bedeutung. Die voraussichtliche Erheblichkeit der zur Schwärzung beantragten Personendaten ist mithin zu bejahen.</w:t>
      </w:r>
    </w:p>
    <w:p>
      <w:r>
        <w:rPr>
          <w:b/>
        </w:rPr>
        <w:t>E. 5</w:t>
      </w:r>
    </w:p>
    <w:p>
      <w:r>
        <w:t>Aus dem Gesagten ergibt sich, dass die Beschwerde abzuweisen ist.</w:t>
      </w:r>
    </w:p>
    <w:p>
      <w:r>
        <w:rPr>
          <w:b/>
        </w:rPr>
        <w:t>E. 6</w:t>
      </w:r>
    </w:p>
    <w:p>
      <w:r>
        <w:t>Entsprechend dem Ausgang des Verfahrens sind die Kosten den Beschwerdeführenden aufzuerlegen (Art. 63 Abs. 1 VwVG). Diese werden in Anwendung der massgeblichen Grundsätze (vgl. Art. 1 ff. des Reglements vom 21. Februar 2008 über die Kosten und Entschädigungen vor dem Bundesverwaltungsgericht [VGKE, SR 173.320.2]) auf Fr. 5'000.- festgesetzt und dem in derselben Höhe geleisteten Kostenvorschuss entnommen. Eine Parteientschädigung steht den unterliegenden Beschwerdeführenden nicht zu (Art. 64 Abs. 1 VwVG e contrario).</w:t>
      </w:r>
    </w:p>
    <w:p>
      <w:r>
        <w:rPr>
          <w:b/>
        </w:rPr>
        <w:t>E. 7</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im Anfechtungsfall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